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05" w:rsidRDefault="00C73705" w:rsidP="00C73705">
      <w:pPr>
        <w:spacing w:line="360" w:lineRule="auto"/>
        <w:jc w:val="center"/>
        <w:rPr>
          <w:rFonts w:ascii="Times New Roman" w:hAnsi="Times New Roman" w:cs="Times New Roman"/>
          <w:b/>
          <w:sz w:val="24"/>
          <w:szCs w:val="24"/>
        </w:rPr>
      </w:pPr>
      <w:r>
        <w:rPr>
          <w:noProof/>
        </w:rPr>
        <w:drawing>
          <wp:inline distT="0" distB="0" distL="0" distR="0" wp14:anchorId="29102637" wp14:editId="6B96DD20">
            <wp:extent cx="1552575" cy="1884262"/>
            <wp:effectExtent l="0" t="0" r="0" b="1905"/>
            <wp:docPr id="1" name="Picture 1"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p>
    <w:p w:rsidR="00C73705" w:rsidRDefault="00C73705" w:rsidP="00C73705">
      <w:pPr>
        <w:pStyle w:val="ListParagraph"/>
        <w:spacing w:line="360" w:lineRule="auto"/>
        <w:jc w:val="center"/>
        <w:rPr>
          <w:rFonts w:ascii="Times New Roman" w:hAnsi="Times New Roman" w:cs="Times New Roman"/>
          <w:b/>
          <w:sz w:val="24"/>
          <w:szCs w:val="24"/>
        </w:rPr>
      </w:pPr>
    </w:p>
    <w:p w:rsidR="00C73705" w:rsidRDefault="00C73705" w:rsidP="00C73705">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COLLEGE OF MANAGEMENT</w:t>
      </w:r>
    </w:p>
    <w:p w:rsidR="00C73705" w:rsidRDefault="00C73705" w:rsidP="00C73705">
      <w:pPr>
        <w:pStyle w:val="ListParagraph"/>
        <w:spacing w:line="360" w:lineRule="auto"/>
        <w:jc w:val="center"/>
        <w:rPr>
          <w:rFonts w:ascii="Times New Roman" w:hAnsi="Times New Roman" w:cs="Times New Roman"/>
          <w:b/>
          <w:sz w:val="24"/>
          <w:szCs w:val="24"/>
        </w:rPr>
      </w:pPr>
    </w:p>
    <w:p w:rsidR="00C73705" w:rsidRDefault="00C73705" w:rsidP="00C73705">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BUADM 722</w:t>
      </w:r>
    </w:p>
    <w:p w:rsidR="00C73705" w:rsidRDefault="00C73705" w:rsidP="00C73705">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CROSS-SECTIONAL ANALYSIS</w:t>
      </w:r>
    </w:p>
    <w:p w:rsidR="00C73705" w:rsidRPr="00C73705" w:rsidRDefault="00C73705" w:rsidP="00C73705">
      <w:pPr>
        <w:pStyle w:val="ListParagraph"/>
        <w:spacing w:line="360" w:lineRule="auto"/>
        <w:jc w:val="center"/>
        <w:rPr>
          <w:rFonts w:ascii="Times New Roman" w:hAnsi="Times New Roman" w:cs="Times New Roman"/>
          <w:b/>
          <w:sz w:val="44"/>
          <w:szCs w:val="44"/>
        </w:rPr>
      </w:pPr>
    </w:p>
    <w:p w:rsidR="00C73705" w:rsidRPr="00C73705" w:rsidRDefault="00C73705" w:rsidP="00C73705">
      <w:pPr>
        <w:pStyle w:val="ListParagraph"/>
        <w:spacing w:line="360" w:lineRule="auto"/>
        <w:jc w:val="center"/>
        <w:rPr>
          <w:rFonts w:ascii="Times New Roman" w:hAnsi="Times New Roman" w:cs="Times New Roman"/>
          <w:b/>
          <w:sz w:val="44"/>
          <w:szCs w:val="44"/>
        </w:rPr>
      </w:pPr>
      <w:r w:rsidRPr="00C73705">
        <w:rPr>
          <w:rFonts w:ascii="Times New Roman" w:hAnsi="Times New Roman" w:cs="Times New Roman"/>
          <w:b/>
          <w:sz w:val="44"/>
          <w:szCs w:val="44"/>
        </w:rPr>
        <w:t>FINANCIAL RESEARCH DATA</w:t>
      </w: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C73705" w:rsidRDefault="00C73705" w:rsidP="00C73705">
      <w:pPr>
        <w:pStyle w:val="ListParagraph"/>
        <w:spacing w:line="360" w:lineRule="auto"/>
        <w:jc w:val="both"/>
        <w:rPr>
          <w:rFonts w:ascii="Times New Roman" w:hAnsi="Times New Roman" w:cs="Times New Roman"/>
          <w:b/>
          <w:sz w:val="24"/>
          <w:szCs w:val="24"/>
        </w:rPr>
      </w:pPr>
    </w:p>
    <w:p w:rsidR="001F75E6" w:rsidRPr="0053693C" w:rsidRDefault="001F75E6" w:rsidP="00092E05">
      <w:pPr>
        <w:pStyle w:val="ListParagraph"/>
        <w:numPr>
          <w:ilvl w:val="0"/>
          <w:numId w:val="3"/>
        </w:numPr>
        <w:spacing w:line="360" w:lineRule="auto"/>
        <w:jc w:val="both"/>
        <w:rPr>
          <w:rFonts w:ascii="Times New Roman" w:hAnsi="Times New Roman" w:cs="Times New Roman"/>
          <w:b/>
          <w:sz w:val="24"/>
          <w:szCs w:val="24"/>
        </w:rPr>
      </w:pPr>
      <w:r w:rsidRPr="0053693C">
        <w:rPr>
          <w:rFonts w:ascii="Times New Roman" w:hAnsi="Times New Roman" w:cs="Times New Roman"/>
          <w:b/>
          <w:sz w:val="24"/>
          <w:szCs w:val="24"/>
        </w:rPr>
        <w:lastRenderedPageBreak/>
        <w:t>WRDS</w:t>
      </w:r>
    </w:p>
    <w:p w:rsidR="0053693C" w:rsidRDefault="0053693C" w:rsidP="00092E0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06F1C5" wp14:editId="2F75CD89">
            <wp:extent cx="5939790" cy="46990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699000"/>
                    </a:xfrm>
                    <a:prstGeom prst="rect">
                      <a:avLst/>
                    </a:prstGeom>
                    <a:noFill/>
                    <a:ln>
                      <a:noFill/>
                    </a:ln>
                  </pic:spPr>
                </pic:pic>
              </a:graphicData>
            </a:graphic>
          </wp:inline>
        </w:drawing>
      </w:r>
    </w:p>
    <w:p w:rsidR="0053693C" w:rsidRDefault="0053693C" w:rsidP="00092E0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registration for WRDS, </w:t>
      </w:r>
      <w:hyperlink r:id="rId8" w:history="1">
        <w:r w:rsidRPr="00B6160D">
          <w:rPr>
            <w:rStyle w:val="Hyperlink"/>
            <w:rFonts w:ascii="Times New Roman" w:hAnsi="Times New Roman" w:cs="Times New Roman"/>
            <w:sz w:val="24"/>
            <w:szCs w:val="24"/>
          </w:rPr>
          <w:t>http://wrds-web.wharton.upenn.edu/</w:t>
        </w:r>
      </w:hyperlink>
    </w:p>
    <w:p w:rsidR="0053693C" w:rsidRDefault="0053693C" w:rsidP="00092E0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WRDS allows you to access different databases including COMPUSTAT and CRSP.</w:t>
      </w:r>
    </w:p>
    <w:p w:rsidR="0053693C" w:rsidRDefault="0053693C" w:rsidP="00092E0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For more detailed information regarding the variables</w:t>
      </w:r>
    </w:p>
    <w:p w:rsidR="0053693C" w:rsidRDefault="0053693C" w:rsidP="00092E0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For sample SAS programming.</w:t>
      </w:r>
    </w:p>
    <w:p w:rsidR="0053693C" w:rsidRDefault="0053693C" w:rsidP="00092E05">
      <w:pPr>
        <w:spacing w:line="360" w:lineRule="auto"/>
        <w:ind w:left="360"/>
        <w:jc w:val="both"/>
        <w:rPr>
          <w:rFonts w:ascii="Times New Roman" w:hAnsi="Times New Roman" w:cs="Times New Roman"/>
          <w:sz w:val="24"/>
          <w:szCs w:val="24"/>
        </w:rPr>
      </w:pPr>
    </w:p>
    <w:p w:rsidR="0053693C" w:rsidRDefault="0053693C" w:rsidP="00092E05">
      <w:pPr>
        <w:spacing w:line="360" w:lineRule="auto"/>
        <w:ind w:left="360"/>
        <w:jc w:val="both"/>
        <w:rPr>
          <w:rFonts w:ascii="Times New Roman" w:hAnsi="Times New Roman" w:cs="Times New Roman"/>
          <w:sz w:val="24"/>
          <w:szCs w:val="24"/>
        </w:rPr>
      </w:pPr>
    </w:p>
    <w:p w:rsidR="0053693C" w:rsidRDefault="0053693C" w:rsidP="00092E05">
      <w:pPr>
        <w:spacing w:line="360" w:lineRule="auto"/>
        <w:ind w:left="360"/>
        <w:jc w:val="both"/>
        <w:rPr>
          <w:rFonts w:ascii="Times New Roman" w:hAnsi="Times New Roman" w:cs="Times New Roman"/>
          <w:sz w:val="24"/>
          <w:szCs w:val="24"/>
        </w:rPr>
      </w:pPr>
    </w:p>
    <w:p w:rsidR="0053693C" w:rsidRDefault="0053693C" w:rsidP="00092E05">
      <w:pPr>
        <w:spacing w:line="360" w:lineRule="auto"/>
        <w:ind w:left="360"/>
        <w:jc w:val="both"/>
        <w:rPr>
          <w:rFonts w:ascii="Times New Roman" w:hAnsi="Times New Roman" w:cs="Times New Roman"/>
          <w:sz w:val="24"/>
          <w:szCs w:val="24"/>
        </w:rPr>
      </w:pPr>
    </w:p>
    <w:p w:rsidR="0053693C" w:rsidRDefault="0053693C" w:rsidP="00092E05">
      <w:pPr>
        <w:spacing w:line="360" w:lineRule="auto"/>
        <w:ind w:left="360"/>
        <w:jc w:val="both"/>
        <w:rPr>
          <w:rFonts w:ascii="Times New Roman" w:hAnsi="Times New Roman" w:cs="Times New Roman"/>
          <w:sz w:val="24"/>
          <w:szCs w:val="24"/>
        </w:rPr>
      </w:pPr>
    </w:p>
    <w:p w:rsidR="0053693C" w:rsidRPr="0053693C" w:rsidRDefault="0053693C" w:rsidP="00092E05">
      <w:pPr>
        <w:spacing w:line="360" w:lineRule="auto"/>
        <w:ind w:left="360"/>
        <w:jc w:val="both"/>
        <w:rPr>
          <w:rFonts w:ascii="Times New Roman" w:hAnsi="Times New Roman" w:cs="Times New Roman"/>
          <w:sz w:val="24"/>
          <w:szCs w:val="24"/>
        </w:rPr>
      </w:pPr>
    </w:p>
    <w:p w:rsidR="001F75E6" w:rsidRPr="0053693C" w:rsidRDefault="001F75E6" w:rsidP="00092E05">
      <w:pPr>
        <w:pStyle w:val="ListParagraph"/>
        <w:numPr>
          <w:ilvl w:val="0"/>
          <w:numId w:val="3"/>
        </w:numPr>
        <w:spacing w:line="360" w:lineRule="auto"/>
        <w:jc w:val="both"/>
        <w:rPr>
          <w:rFonts w:ascii="Times New Roman" w:hAnsi="Times New Roman" w:cs="Times New Roman"/>
          <w:b/>
          <w:sz w:val="24"/>
          <w:szCs w:val="24"/>
        </w:rPr>
      </w:pPr>
      <w:r w:rsidRPr="0053693C">
        <w:rPr>
          <w:rFonts w:ascii="Times New Roman" w:hAnsi="Times New Roman" w:cs="Times New Roman"/>
          <w:b/>
          <w:sz w:val="24"/>
          <w:szCs w:val="24"/>
        </w:rPr>
        <w:t>COMPUSTAT DATA</w:t>
      </w:r>
    </w:p>
    <w:p w:rsidR="00C73705" w:rsidRDefault="001F75E6" w:rsidP="00092E0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Compustat</w:t>
      </w:r>
      <w:proofErr w:type="spellEnd"/>
      <w:r>
        <w:rPr>
          <w:rFonts w:ascii="Times New Roman" w:hAnsi="Times New Roman" w:cs="Times New Roman"/>
          <w:sz w:val="24"/>
          <w:szCs w:val="24"/>
        </w:rPr>
        <w:t xml:space="preserve"> is a database of U.S. and Canadian fundamental and market information on more than 24,000 active and inactive publicly held companies. It provides more than 300 annual and 100 quarterly Income Statement, Balance Sheet, Statement of Cash Flows, and supplemental data items.</w:t>
      </w:r>
    </w:p>
    <w:p w:rsidR="001F75E6" w:rsidRPr="001F75E6" w:rsidRDefault="001F75E6" w:rsidP="00092E05">
      <w:pPr>
        <w:spacing w:line="360" w:lineRule="auto"/>
        <w:jc w:val="both"/>
        <w:rPr>
          <w:rFonts w:ascii="Times New Roman" w:hAnsi="Times New Roman" w:cs="Times New Roman"/>
          <w:b/>
          <w:sz w:val="24"/>
          <w:szCs w:val="24"/>
        </w:rPr>
      </w:pPr>
      <w:r w:rsidRPr="001F75E6">
        <w:rPr>
          <w:rFonts w:ascii="Times New Roman" w:hAnsi="Times New Roman" w:cs="Times New Roman"/>
          <w:b/>
          <w:sz w:val="24"/>
          <w:szCs w:val="24"/>
        </w:rPr>
        <w:t>Annual Data:</w:t>
      </w:r>
    </w:p>
    <w:p w:rsidR="001F75E6" w:rsidRDefault="001F75E6" w:rsidP="00092E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example program below extracts data from </w:t>
      </w:r>
      <w:proofErr w:type="spellStart"/>
      <w:r>
        <w:rPr>
          <w:rFonts w:ascii="Times New Roman" w:hAnsi="Times New Roman" w:cs="Times New Roman"/>
          <w:sz w:val="24"/>
          <w:szCs w:val="24"/>
        </w:rPr>
        <w:t>Compustat</w:t>
      </w:r>
      <w:proofErr w:type="spellEnd"/>
      <w:r>
        <w:rPr>
          <w:rFonts w:ascii="Times New Roman" w:hAnsi="Times New Roman" w:cs="Times New Roman"/>
          <w:sz w:val="24"/>
          <w:szCs w:val="24"/>
        </w:rPr>
        <w:t xml:space="preserve"> for a group of firms, illustrates creation of lagged variables, and shows how new variables (ROA in this case) can be created.</w:t>
      </w:r>
    </w:p>
    <w:p w:rsidR="0053693C" w:rsidRDefault="0053693C" w:rsidP="00092E05">
      <w:pPr>
        <w:pStyle w:val="Default"/>
        <w:numPr>
          <w:ilvl w:val="0"/>
          <w:numId w:val="7"/>
        </w:numPr>
        <w:spacing w:line="360" w:lineRule="auto"/>
        <w:rPr>
          <w:sz w:val="23"/>
          <w:szCs w:val="23"/>
        </w:rPr>
      </w:pPr>
      <w:r w:rsidRPr="0053693C">
        <w:rPr>
          <w:sz w:val="23"/>
          <w:szCs w:val="23"/>
        </w:rPr>
        <w:t xml:space="preserve">These three lines establish a connection to the WRDS server where the data is stored. Substitute the user id and password for your personal WRDS account. The connection is terminated using a </w:t>
      </w:r>
      <w:r w:rsidRPr="0053693C">
        <w:rPr>
          <w:b/>
          <w:bCs/>
          <w:i/>
          <w:iCs/>
          <w:sz w:val="23"/>
          <w:szCs w:val="23"/>
        </w:rPr>
        <w:t xml:space="preserve">signoff </w:t>
      </w:r>
      <w:r w:rsidRPr="0053693C">
        <w:rPr>
          <w:sz w:val="23"/>
          <w:szCs w:val="23"/>
        </w:rPr>
        <w:t xml:space="preserve">statement. </w:t>
      </w:r>
    </w:p>
    <w:p w:rsidR="00092E05" w:rsidRDefault="00092E05" w:rsidP="00092E05">
      <w:pPr>
        <w:pStyle w:val="Default"/>
        <w:spacing w:line="360" w:lineRule="auto"/>
        <w:ind w:left="720"/>
        <w:rPr>
          <w:sz w:val="23"/>
          <w:szCs w:val="23"/>
        </w:rPr>
      </w:pPr>
    </w:p>
    <w:p w:rsidR="0053693C" w:rsidRPr="00092E05" w:rsidRDefault="0053693C" w:rsidP="00092E05">
      <w:pPr>
        <w:pStyle w:val="Default"/>
        <w:numPr>
          <w:ilvl w:val="0"/>
          <w:numId w:val="7"/>
        </w:numPr>
        <w:spacing w:line="360" w:lineRule="auto"/>
        <w:rPr>
          <w:sz w:val="23"/>
          <w:szCs w:val="23"/>
        </w:rPr>
      </w:pPr>
      <w:proofErr w:type="spellStart"/>
      <w:r w:rsidRPr="0053693C">
        <w:rPr>
          <w:b/>
          <w:bCs/>
          <w:i/>
          <w:iCs/>
          <w:sz w:val="23"/>
          <w:szCs w:val="23"/>
        </w:rPr>
        <w:t>Rsubmit</w:t>
      </w:r>
      <w:proofErr w:type="spellEnd"/>
      <w:r w:rsidRPr="0053693C">
        <w:rPr>
          <w:b/>
          <w:bCs/>
          <w:i/>
          <w:iCs/>
          <w:sz w:val="23"/>
          <w:szCs w:val="23"/>
        </w:rPr>
        <w:t xml:space="preserve"> </w:t>
      </w:r>
      <w:r w:rsidRPr="0053693C">
        <w:rPr>
          <w:sz w:val="23"/>
          <w:szCs w:val="23"/>
        </w:rPr>
        <w:t xml:space="preserve">and </w:t>
      </w:r>
      <w:proofErr w:type="spellStart"/>
      <w:r w:rsidRPr="0053693C">
        <w:rPr>
          <w:b/>
          <w:bCs/>
          <w:i/>
          <w:iCs/>
          <w:sz w:val="23"/>
          <w:szCs w:val="23"/>
        </w:rPr>
        <w:t>endrsubmit</w:t>
      </w:r>
      <w:proofErr w:type="spellEnd"/>
      <w:r w:rsidRPr="0053693C">
        <w:rPr>
          <w:b/>
          <w:bCs/>
          <w:i/>
          <w:iCs/>
          <w:sz w:val="23"/>
          <w:szCs w:val="23"/>
        </w:rPr>
        <w:t xml:space="preserve"> </w:t>
      </w:r>
      <w:r w:rsidRPr="0053693C">
        <w:rPr>
          <w:sz w:val="23"/>
          <w:szCs w:val="23"/>
        </w:rPr>
        <w:t>identify the beginning and end of the commands that will executed on the WRDS server. (</w:t>
      </w:r>
      <w:proofErr w:type="spellStart"/>
      <w:proofErr w:type="gramStart"/>
      <w:r w:rsidRPr="0053693C">
        <w:rPr>
          <w:rFonts w:ascii="Courier New" w:hAnsi="Courier New" w:cs="Courier New"/>
          <w:color w:val="0000FF"/>
          <w:sz w:val="20"/>
          <w:szCs w:val="20"/>
          <w:shd w:val="clear" w:color="auto" w:fill="FFFFFF"/>
        </w:rPr>
        <w:t>libname</w:t>
      </w:r>
      <w:proofErr w:type="spellEnd"/>
      <w:proofErr w:type="gramEnd"/>
      <w:r w:rsidRPr="0053693C">
        <w:rPr>
          <w:rFonts w:ascii="Courier New" w:hAnsi="Courier New" w:cs="Courier New"/>
          <w:sz w:val="20"/>
          <w:szCs w:val="20"/>
          <w:shd w:val="clear" w:color="auto" w:fill="FFFFFF"/>
        </w:rPr>
        <w:t xml:space="preserve"> comp </w:t>
      </w:r>
      <w:r w:rsidRPr="0053693C">
        <w:rPr>
          <w:rFonts w:ascii="Courier New" w:hAnsi="Courier New" w:cs="Courier New"/>
          <w:color w:val="800080"/>
          <w:sz w:val="20"/>
          <w:szCs w:val="20"/>
          <w:shd w:val="clear" w:color="auto" w:fill="FFFFFF"/>
        </w:rPr>
        <w:t>"/</w:t>
      </w:r>
      <w:proofErr w:type="spellStart"/>
      <w:r w:rsidRPr="0053693C">
        <w:rPr>
          <w:rFonts w:ascii="Courier New" w:hAnsi="Courier New" w:cs="Courier New"/>
          <w:color w:val="800080"/>
          <w:sz w:val="20"/>
          <w:szCs w:val="20"/>
          <w:shd w:val="clear" w:color="auto" w:fill="FFFFFF"/>
        </w:rPr>
        <w:t>wrds</w:t>
      </w:r>
      <w:proofErr w:type="spellEnd"/>
      <w:r w:rsidRPr="0053693C">
        <w:rPr>
          <w:rFonts w:ascii="Courier New" w:hAnsi="Courier New" w:cs="Courier New"/>
          <w:color w:val="800080"/>
          <w:sz w:val="20"/>
          <w:szCs w:val="20"/>
          <w:shd w:val="clear" w:color="auto" w:fill="FFFFFF"/>
        </w:rPr>
        <w:t>/comp/</w:t>
      </w:r>
      <w:proofErr w:type="spellStart"/>
      <w:r w:rsidRPr="0053693C">
        <w:rPr>
          <w:rFonts w:ascii="Courier New" w:hAnsi="Courier New" w:cs="Courier New"/>
          <w:color w:val="800080"/>
          <w:sz w:val="20"/>
          <w:szCs w:val="20"/>
          <w:shd w:val="clear" w:color="auto" w:fill="FFFFFF"/>
        </w:rPr>
        <w:t>sasdata</w:t>
      </w:r>
      <w:proofErr w:type="spellEnd"/>
      <w:r w:rsidRPr="0053693C">
        <w:rPr>
          <w:rFonts w:ascii="Courier New" w:hAnsi="Courier New" w:cs="Courier New"/>
          <w:color w:val="800080"/>
          <w:sz w:val="20"/>
          <w:szCs w:val="20"/>
          <w:shd w:val="clear" w:color="auto" w:fill="FFFFFF"/>
        </w:rPr>
        <w:t>/</w:t>
      </w:r>
      <w:proofErr w:type="spellStart"/>
      <w:r w:rsidRPr="0053693C">
        <w:rPr>
          <w:rFonts w:ascii="Courier New" w:hAnsi="Courier New" w:cs="Courier New"/>
          <w:color w:val="800080"/>
          <w:sz w:val="20"/>
          <w:szCs w:val="20"/>
          <w:shd w:val="clear" w:color="auto" w:fill="FFFFFF"/>
        </w:rPr>
        <w:t>naa</w:t>
      </w:r>
      <w:proofErr w:type="spellEnd"/>
      <w:r w:rsidRPr="0053693C">
        <w:rPr>
          <w:rFonts w:ascii="Courier New" w:hAnsi="Courier New" w:cs="Courier New"/>
          <w:color w:val="800080"/>
          <w:sz w:val="20"/>
          <w:szCs w:val="20"/>
          <w:shd w:val="clear" w:color="auto" w:fill="FFFFFF"/>
        </w:rPr>
        <w:t>"</w:t>
      </w:r>
      <w:r w:rsidRPr="0053693C">
        <w:rPr>
          <w:rFonts w:ascii="Courier New" w:hAnsi="Courier New" w:cs="Courier New"/>
          <w:sz w:val="20"/>
          <w:szCs w:val="20"/>
          <w:shd w:val="clear" w:color="auto" w:fill="FFFFFF"/>
        </w:rPr>
        <w:t>;</w:t>
      </w:r>
      <w:r w:rsidRPr="0053693C">
        <w:rPr>
          <w:sz w:val="20"/>
          <w:szCs w:val="20"/>
          <w:shd w:val="clear" w:color="auto" w:fill="FFFFFF"/>
        </w:rPr>
        <w:t>)</w:t>
      </w:r>
      <w:r w:rsidRPr="0053693C">
        <w:rPr>
          <w:shd w:val="clear" w:color="auto" w:fill="FFFFFF"/>
        </w:rPr>
        <w:t xml:space="preserve"> is the physical address of the annual </w:t>
      </w:r>
      <w:proofErr w:type="spellStart"/>
      <w:r w:rsidRPr="0053693C">
        <w:rPr>
          <w:shd w:val="clear" w:color="auto" w:fill="FFFFFF"/>
        </w:rPr>
        <w:t>Compustat</w:t>
      </w:r>
      <w:proofErr w:type="spellEnd"/>
      <w:r w:rsidRPr="0053693C">
        <w:rPr>
          <w:shd w:val="clear" w:color="auto" w:fill="FFFFFF"/>
        </w:rPr>
        <w:t xml:space="preserve"> data in WRDS server.</w:t>
      </w:r>
    </w:p>
    <w:p w:rsidR="00092E05" w:rsidRPr="0053693C" w:rsidRDefault="00092E05" w:rsidP="00092E05">
      <w:pPr>
        <w:pStyle w:val="Default"/>
        <w:spacing w:line="360" w:lineRule="auto"/>
        <w:ind w:left="720"/>
        <w:rPr>
          <w:sz w:val="23"/>
          <w:szCs w:val="23"/>
        </w:rPr>
      </w:pPr>
    </w:p>
    <w:p w:rsidR="00092E05" w:rsidRPr="00092E05" w:rsidRDefault="0053693C" w:rsidP="00092E05">
      <w:pPr>
        <w:pStyle w:val="Default"/>
        <w:numPr>
          <w:ilvl w:val="0"/>
          <w:numId w:val="7"/>
        </w:numPr>
        <w:spacing w:line="360" w:lineRule="auto"/>
        <w:rPr>
          <w:sz w:val="23"/>
          <w:szCs w:val="23"/>
        </w:rPr>
      </w:pPr>
      <w:r w:rsidRPr="00092E05">
        <w:rPr>
          <w:sz w:val="23"/>
          <w:szCs w:val="23"/>
        </w:rPr>
        <w:t>The data set ‘</w:t>
      </w:r>
      <w:proofErr w:type="spellStart"/>
      <w:r w:rsidRPr="00092E05">
        <w:rPr>
          <w:sz w:val="23"/>
          <w:szCs w:val="23"/>
        </w:rPr>
        <w:t>comp.funda</w:t>
      </w:r>
      <w:proofErr w:type="spellEnd"/>
      <w:r w:rsidRPr="00092E05">
        <w:rPr>
          <w:sz w:val="23"/>
          <w:szCs w:val="23"/>
        </w:rPr>
        <w:t xml:space="preserve">’ contains the </w:t>
      </w:r>
      <w:proofErr w:type="spellStart"/>
      <w:r w:rsidRPr="00092E05">
        <w:rPr>
          <w:sz w:val="23"/>
          <w:szCs w:val="23"/>
        </w:rPr>
        <w:t>Compustat</w:t>
      </w:r>
      <w:proofErr w:type="spellEnd"/>
      <w:r w:rsidRPr="00092E05">
        <w:rPr>
          <w:sz w:val="23"/>
          <w:szCs w:val="23"/>
        </w:rPr>
        <w:t xml:space="preserve"> annual data; the </w:t>
      </w:r>
      <w:r w:rsidRPr="00092E05">
        <w:rPr>
          <w:b/>
          <w:bCs/>
          <w:i/>
          <w:iCs/>
          <w:sz w:val="23"/>
          <w:szCs w:val="23"/>
        </w:rPr>
        <w:t xml:space="preserve">keep= </w:t>
      </w:r>
      <w:r w:rsidRPr="00092E05">
        <w:rPr>
          <w:sz w:val="23"/>
          <w:szCs w:val="23"/>
        </w:rPr>
        <w:t xml:space="preserve">list identifies which variables are to be retained from the full data set. </w:t>
      </w:r>
      <w:proofErr w:type="gramStart"/>
      <w:r w:rsidRPr="00092E05">
        <w:rPr>
          <w:sz w:val="23"/>
          <w:szCs w:val="23"/>
        </w:rPr>
        <w:t>A table of available variables are</w:t>
      </w:r>
      <w:proofErr w:type="gramEnd"/>
      <w:r w:rsidRPr="00092E05">
        <w:rPr>
          <w:sz w:val="23"/>
          <w:szCs w:val="23"/>
        </w:rPr>
        <w:t xml:space="preserve"> listed at the “support” section of the WRDS web site. Here </w:t>
      </w:r>
      <w:proofErr w:type="spellStart"/>
      <w:r w:rsidRPr="00092E05">
        <w:rPr>
          <w:i/>
          <w:iCs/>
          <w:sz w:val="23"/>
          <w:szCs w:val="23"/>
        </w:rPr>
        <w:t>gvkey</w:t>
      </w:r>
      <w:proofErr w:type="spellEnd"/>
      <w:r w:rsidRPr="00092E05">
        <w:rPr>
          <w:i/>
          <w:iCs/>
          <w:sz w:val="23"/>
          <w:szCs w:val="23"/>
        </w:rPr>
        <w:t xml:space="preserve"> </w:t>
      </w:r>
      <w:r w:rsidRPr="00092E05">
        <w:rPr>
          <w:sz w:val="23"/>
          <w:szCs w:val="23"/>
        </w:rPr>
        <w:t xml:space="preserve">(S&amp;P permanent number), </w:t>
      </w:r>
      <w:proofErr w:type="spellStart"/>
      <w:r w:rsidRPr="00092E05">
        <w:rPr>
          <w:i/>
          <w:iCs/>
          <w:sz w:val="23"/>
          <w:szCs w:val="23"/>
        </w:rPr>
        <w:t>cusip</w:t>
      </w:r>
      <w:proofErr w:type="spellEnd"/>
      <w:r w:rsidRPr="00092E05">
        <w:rPr>
          <w:i/>
          <w:iCs/>
          <w:sz w:val="23"/>
          <w:szCs w:val="23"/>
        </w:rPr>
        <w:t xml:space="preserve"> </w:t>
      </w:r>
      <w:r w:rsidRPr="00092E05">
        <w:rPr>
          <w:sz w:val="23"/>
          <w:szCs w:val="23"/>
        </w:rPr>
        <w:t>(</w:t>
      </w:r>
      <w:proofErr w:type="spellStart"/>
      <w:r w:rsidRPr="00092E05">
        <w:rPr>
          <w:sz w:val="23"/>
          <w:szCs w:val="23"/>
        </w:rPr>
        <w:t>cusip</w:t>
      </w:r>
      <w:proofErr w:type="spellEnd"/>
      <w:r w:rsidRPr="00092E05">
        <w:rPr>
          <w:sz w:val="23"/>
          <w:szCs w:val="23"/>
        </w:rPr>
        <w:t xml:space="preserve">), </w:t>
      </w:r>
      <w:r w:rsidRPr="00092E05">
        <w:rPr>
          <w:i/>
          <w:iCs/>
          <w:sz w:val="23"/>
          <w:szCs w:val="23"/>
        </w:rPr>
        <w:t xml:space="preserve">tic </w:t>
      </w:r>
      <w:r w:rsidRPr="00092E05">
        <w:rPr>
          <w:sz w:val="23"/>
          <w:szCs w:val="23"/>
        </w:rPr>
        <w:t xml:space="preserve">(stock ticker symbol), </w:t>
      </w:r>
      <w:proofErr w:type="spellStart"/>
      <w:r w:rsidRPr="00092E05">
        <w:rPr>
          <w:i/>
          <w:iCs/>
          <w:sz w:val="23"/>
          <w:szCs w:val="23"/>
        </w:rPr>
        <w:t>fyear</w:t>
      </w:r>
      <w:proofErr w:type="spellEnd"/>
      <w:r w:rsidRPr="00092E05">
        <w:rPr>
          <w:i/>
          <w:iCs/>
          <w:sz w:val="23"/>
          <w:szCs w:val="23"/>
        </w:rPr>
        <w:t xml:space="preserve"> </w:t>
      </w:r>
      <w:r w:rsidRPr="00092E05">
        <w:rPr>
          <w:sz w:val="23"/>
          <w:szCs w:val="23"/>
        </w:rPr>
        <w:t xml:space="preserve">(fiscal year), </w:t>
      </w:r>
      <w:proofErr w:type="spellStart"/>
      <w:r w:rsidRPr="00092E05">
        <w:rPr>
          <w:i/>
          <w:iCs/>
          <w:sz w:val="23"/>
          <w:szCs w:val="23"/>
        </w:rPr>
        <w:t>fyr</w:t>
      </w:r>
      <w:proofErr w:type="spellEnd"/>
      <w:r w:rsidRPr="00092E05">
        <w:rPr>
          <w:i/>
          <w:iCs/>
          <w:sz w:val="23"/>
          <w:szCs w:val="23"/>
        </w:rPr>
        <w:t xml:space="preserve"> </w:t>
      </w:r>
      <w:r w:rsidRPr="00092E05">
        <w:rPr>
          <w:sz w:val="23"/>
          <w:szCs w:val="23"/>
        </w:rPr>
        <w:t xml:space="preserve">(fiscal year end month), </w:t>
      </w:r>
      <w:r w:rsidRPr="00092E05">
        <w:rPr>
          <w:i/>
          <w:iCs/>
          <w:sz w:val="23"/>
          <w:szCs w:val="23"/>
        </w:rPr>
        <w:t xml:space="preserve">at </w:t>
      </w:r>
      <w:r w:rsidRPr="00092E05">
        <w:rPr>
          <w:sz w:val="23"/>
          <w:szCs w:val="23"/>
        </w:rPr>
        <w:t xml:space="preserve">(total assets), </w:t>
      </w:r>
      <w:r w:rsidRPr="00092E05">
        <w:rPr>
          <w:i/>
          <w:iCs/>
          <w:sz w:val="23"/>
          <w:szCs w:val="23"/>
        </w:rPr>
        <w:t xml:space="preserve">sale </w:t>
      </w:r>
      <w:r w:rsidRPr="00092E05">
        <w:rPr>
          <w:sz w:val="23"/>
          <w:szCs w:val="23"/>
        </w:rPr>
        <w:t xml:space="preserve">(sales) and </w:t>
      </w:r>
      <w:proofErr w:type="spellStart"/>
      <w:proofErr w:type="gramStart"/>
      <w:r w:rsidRPr="00092E05">
        <w:rPr>
          <w:i/>
          <w:iCs/>
          <w:sz w:val="23"/>
          <w:szCs w:val="23"/>
        </w:rPr>
        <w:t>ib</w:t>
      </w:r>
      <w:proofErr w:type="spellEnd"/>
      <w:proofErr w:type="gramEnd"/>
      <w:r w:rsidRPr="00092E05">
        <w:rPr>
          <w:i/>
          <w:iCs/>
          <w:sz w:val="23"/>
          <w:szCs w:val="23"/>
        </w:rPr>
        <w:t xml:space="preserve"> </w:t>
      </w:r>
      <w:r w:rsidRPr="00092E05">
        <w:rPr>
          <w:sz w:val="23"/>
          <w:szCs w:val="23"/>
        </w:rPr>
        <w:t xml:space="preserve">(earnings before extraordinary items), </w:t>
      </w:r>
      <w:proofErr w:type="spellStart"/>
      <w:r w:rsidRPr="00092E05">
        <w:rPr>
          <w:i/>
          <w:iCs/>
          <w:sz w:val="23"/>
          <w:szCs w:val="23"/>
        </w:rPr>
        <w:t>indfmt</w:t>
      </w:r>
      <w:proofErr w:type="spellEnd"/>
      <w:r w:rsidRPr="00092E05">
        <w:rPr>
          <w:i/>
          <w:iCs/>
          <w:sz w:val="23"/>
          <w:szCs w:val="23"/>
        </w:rPr>
        <w:t xml:space="preserve"> </w:t>
      </w:r>
      <w:r w:rsidRPr="00092E05">
        <w:rPr>
          <w:sz w:val="23"/>
          <w:szCs w:val="23"/>
        </w:rPr>
        <w:t xml:space="preserve">(industry format), </w:t>
      </w:r>
      <w:proofErr w:type="spellStart"/>
      <w:r w:rsidRPr="00092E05">
        <w:rPr>
          <w:i/>
          <w:iCs/>
          <w:sz w:val="23"/>
          <w:szCs w:val="23"/>
        </w:rPr>
        <w:t>datafmt</w:t>
      </w:r>
      <w:proofErr w:type="spellEnd"/>
      <w:r w:rsidRPr="00092E05">
        <w:rPr>
          <w:i/>
          <w:iCs/>
          <w:sz w:val="23"/>
          <w:szCs w:val="23"/>
        </w:rPr>
        <w:t xml:space="preserve"> </w:t>
      </w:r>
      <w:r w:rsidRPr="00092E05">
        <w:rPr>
          <w:sz w:val="23"/>
          <w:szCs w:val="23"/>
        </w:rPr>
        <w:t xml:space="preserve">(data format), </w:t>
      </w:r>
      <w:proofErr w:type="spellStart"/>
      <w:r w:rsidRPr="00092E05">
        <w:rPr>
          <w:i/>
          <w:iCs/>
          <w:sz w:val="23"/>
          <w:szCs w:val="23"/>
        </w:rPr>
        <w:t>porpsrc</w:t>
      </w:r>
      <w:proofErr w:type="spellEnd"/>
      <w:r w:rsidRPr="00092E05">
        <w:rPr>
          <w:i/>
          <w:iCs/>
          <w:sz w:val="23"/>
          <w:szCs w:val="23"/>
        </w:rPr>
        <w:t xml:space="preserve"> </w:t>
      </w:r>
      <w:r w:rsidRPr="00092E05">
        <w:rPr>
          <w:sz w:val="23"/>
          <w:szCs w:val="23"/>
        </w:rPr>
        <w:t xml:space="preserve">(population source, </w:t>
      </w:r>
      <w:proofErr w:type="spellStart"/>
      <w:r w:rsidRPr="00092E05">
        <w:rPr>
          <w:i/>
          <w:iCs/>
          <w:sz w:val="23"/>
          <w:szCs w:val="23"/>
        </w:rPr>
        <w:t>consol</w:t>
      </w:r>
      <w:proofErr w:type="spellEnd"/>
      <w:r w:rsidRPr="00092E05">
        <w:rPr>
          <w:i/>
          <w:iCs/>
          <w:sz w:val="23"/>
          <w:szCs w:val="23"/>
        </w:rPr>
        <w:t xml:space="preserve"> </w:t>
      </w:r>
      <w:r w:rsidRPr="00092E05">
        <w:rPr>
          <w:sz w:val="23"/>
          <w:szCs w:val="23"/>
        </w:rPr>
        <w:t xml:space="preserve">(consolidation level) are selected, and </w:t>
      </w:r>
      <w:proofErr w:type="spellStart"/>
      <w:r w:rsidRPr="00092E05">
        <w:rPr>
          <w:i/>
          <w:iCs/>
          <w:sz w:val="23"/>
          <w:szCs w:val="23"/>
        </w:rPr>
        <w:t>sich</w:t>
      </w:r>
      <w:proofErr w:type="spellEnd"/>
      <w:r w:rsidRPr="00092E05">
        <w:rPr>
          <w:i/>
          <w:iCs/>
          <w:sz w:val="23"/>
          <w:szCs w:val="23"/>
        </w:rPr>
        <w:t xml:space="preserve"> </w:t>
      </w:r>
      <w:r w:rsidRPr="00092E05">
        <w:rPr>
          <w:sz w:val="23"/>
          <w:szCs w:val="23"/>
        </w:rPr>
        <w:t xml:space="preserve">(historical standard industrial classification code). </w:t>
      </w:r>
    </w:p>
    <w:p w:rsidR="00092E05" w:rsidRDefault="00092E05" w:rsidP="00092E05">
      <w:pPr>
        <w:pStyle w:val="Default"/>
        <w:spacing w:line="360" w:lineRule="auto"/>
        <w:ind w:left="720"/>
        <w:rPr>
          <w:sz w:val="23"/>
          <w:szCs w:val="23"/>
        </w:rPr>
      </w:pPr>
    </w:p>
    <w:p w:rsidR="00092E05" w:rsidRDefault="0053693C" w:rsidP="00092E05">
      <w:pPr>
        <w:pStyle w:val="Default"/>
        <w:spacing w:line="360" w:lineRule="auto"/>
        <w:ind w:left="720"/>
        <w:rPr>
          <w:sz w:val="23"/>
          <w:szCs w:val="23"/>
        </w:rPr>
      </w:pPr>
      <w:r w:rsidRPr="00092E05">
        <w:rPr>
          <w:sz w:val="23"/>
          <w:szCs w:val="23"/>
        </w:rPr>
        <w:t xml:space="preserve">Note that the </w:t>
      </w:r>
      <w:proofErr w:type="spellStart"/>
      <w:r w:rsidRPr="00092E05">
        <w:rPr>
          <w:i/>
          <w:iCs/>
          <w:sz w:val="23"/>
          <w:szCs w:val="23"/>
        </w:rPr>
        <w:t>sich</w:t>
      </w:r>
      <w:proofErr w:type="spellEnd"/>
      <w:r w:rsidRPr="00092E05">
        <w:rPr>
          <w:i/>
          <w:iCs/>
          <w:sz w:val="23"/>
          <w:szCs w:val="23"/>
        </w:rPr>
        <w:t xml:space="preserve"> </w:t>
      </w:r>
      <w:r w:rsidRPr="00092E05">
        <w:rPr>
          <w:sz w:val="23"/>
          <w:szCs w:val="23"/>
        </w:rPr>
        <w:t xml:space="preserve">variable in </w:t>
      </w:r>
      <w:proofErr w:type="spellStart"/>
      <w:r w:rsidRPr="00092E05">
        <w:rPr>
          <w:sz w:val="23"/>
          <w:szCs w:val="23"/>
        </w:rPr>
        <w:t>Compustat</w:t>
      </w:r>
      <w:proofErr w:type="spellEnd"/>
      <w:r w:rsidRPr="00092E05">
        <w:rPr>
          <w:sz w:val="23"/>
          <w:szCs w:val="23"/>
        </w:rPr>
        <w:t xml:space="preserve"> is the SIC code in the observation year. In order to get the SIC code for the current period, we can take the </w:t>
      </w:r>
      <w:proofErr w:type="spellStart"/>
      <w:r w:rsidRPr="00092E05">
        <w:rPr>
          <w:i/>
          <w:iCs/>
          <w:sz w:val="23"/>
          <w:szCs w:val="23"/>
        </w:rPr>
        <w:t>sich</w:t>
      </w:r>
      <w:proofErr w:type="spellEnd"/>
      <w:r w:rsidRPr="00092E05">
        <w:rPr>
          <w:i/>
          <w:iCs/>
          <w:sz w:val="23"/>
          <w:szCs w:val="23"/>
        </w:rPr>
        <w:t xml:space="preserve"> </w:t>
      </w:r>
      <w:r w:rsidRPr="00092E05">
        <w:rPr>
          <w:sz w:val="23"/>
          <w:szCs w:val="23"/>
        </w:rPr>
        <w:t>of the most recent observation or we can find the sic variable in the dataset ‘</w:t>
      </w:r>
      <w:proofErr w:type="spellStart"/>
      <w:r w:rsidRPr="00092E05">
        <w:rPr>
          <w:sz w:val="23"/>
          <w:szCs w:val="23"/>
        </w:rPr>
        <w:t>comp.company</w:t>
      </w:r>
      <w:proofErr w:type="spellEnd"/>
      <w:r w:rsidRPr="00092E05">
        <w:rPr>
          <w:sz w:val="23"/>
          <w:szCs w:val="23"/>
        </w:rPr>
        <w:t>’ (see next example).</w:t>
      </w:r>
    </w:p>
    <w:p w:rsidR="0053693C" w:rsidRPr="0053693C" w:rsidRDefault="0053693C" w:rsidP="00092E05">
      <w:pPr>
        <w:pStyle w:val="ListParagraph"/>
        <w:spacing w:line="360" w:lineRule="auto"/>
        <w:jc w:val="both"/>
        <w:rPr>
          <w:rFonts w:ascii="Times New Roman" w:hAnsi="Times New Roman" w:cs="Times New Roman"/>
          <w:sz w:val="24"/>
          <w:szCs w:val="24"/>
        </w:rPr>
      </w:pPr>
    </w:p>
    <w:p w:rsidR="00092E05" w:rsidRDefault="00092E05" w:rsidP="00092E05">
      <w:pPr>
        <w:spacing w:line="360" w:lineRule="auto"/>
        <w:jc w:val="center"/>
        <w:rPr>
          <w:rFonts w:ascii="Times New Roman" w:hAnsi="Times New Roman" w:cs="Times New Roman"/>
          <w:sz w:val="24"/>
          <w:szCs w:val="24"/>
        </w:rPr>
      </w:pPr>
    </w:p>
    <w:p w:rsidR="0053693C" w:rsidRDefault="0053693C" w:rsidP="00092E0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5AD8BC" wp14:editId="19398794">
            <wp:extent cx="5208270" cy="716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270" cy="7164070"/>
                    </a:xfrm>
                    <a:prstGeom prst="rect">
                      <a:avLst/>
                    </a:prstGeom>
                    <a:noFill/>
                    <a:ln>
                      <a:noFill/>
                    </a:ln>
                  </pic:spPr>
                </pic:pic>
              </a:graphicData>
            </a:graphic>
          </wp:inline>
        </w:drawing>
      </w:r>
    </w:p>
    <w:p w:rsidR="00092E05" w:rsidRDefault="00092E05" w:rsidP="00092E05">
      <w:pPr>
        <w:spacing w:line="360" w:lineRule="auto"/>
        <w:jc w:val="center"/>
        <w:rPr>
          <w:rFonts w:ascii="Times New Roman" w:hAnsi="Times New Roman" w:cs="Times New Roman"/>
          <w:sz w:val="24"/>
          <w:szCs w:val="24"/>
        </w:rPr>
      </w:pPr>
    </w:p>
    <w:p w:rsidR="00092E05" w:rsidRPr="00092E05" w:rsidRDefault="00092E05" w:rsidP="00092E05">
      <w:pPr>
        <w:pStyle w:val="Default"/>
        <w:numPr>
          <w:ilvl w:val="0"/>
          <w:numId w:val="7"/>
        </w:numPr>
        <w:spacing w:line="360" w:lineRule="auto"/>
        <w:rPr>
          <w:b/>
          <w:bCs/>
          <w:i/>
          <w:iCs/>
          <w:sz w:val="23"/>
          <w:szCs w:val="23"/>
        </w:rPr>
      </w:pPr>
      <w:r w:rsidRPr="00092E05">
        <w:rPr>
          <w:b/>
          <w:bCs/>
          <w:i/>
          <w:iCs/>
          <w:sz w:val="23"/>
          <w:szCs w:val="23"/>
        </w:rPr>
        <w:lastRenderedPageBreak/>
        <w:t xml:space="preserve">IF </w:t>
      </w:r>
      <w:r w:rsidRPr="00092E05">
        <w:rPr>
          <w:sz w:val="23"/>
          <w:szCs w:val="23"/>
        </w:rPr>
        <w:t xml:space="preserve">or </w:t>
      </w:r>
      <w:r w:rsidRPr="00092E05">
        <w:rPr>
          <w:b/>
          <w:bCs/>
          <w:i/>
          <w:iCs/>
          <w:sz w:val="23"/>
          <w:szCs w:val="23"/>
        </w:rPr>
        <w:t xml:space="preserve">WHERE </w:t>
      </w:r>
      <w:r w:rsidRPr="00092E05">
        <w:rPr>
          <w:sz w:val="23"/>
          <w:szCs w:val="23"/>
        </w:rPr>
        <w:t xml:space="preserve">statements can be used to limit the sample to particular subsets of the data. Here 11 years of data are extracted, and financial firms (sic code 6xxx) are excluded. </w:t>
      </w:r>
    </w:p>
    <w:p w:rsidR="00092E05" w:rsidRDefault="00092E05" w:rsidP="00092E05">
      <w:pPr>
        <w:pStyle w:val="Default"/>
        <w:spacing w:line="360" w:lineRule="auto"/>
        <w:ind w:left="720"/>
        <w:rPr>
          <w:sz w:val="23"/>
          <w:szCs w:val="23"/>
        </w:rPr>
      </w:pPr>
      <w:r w:rsidRPr="00092E05">
        <w:rPr>
          <w:sz w:val="23"/>
          <w:szCs w:val="23"/>
        </w:rPr>
        <w:t xml:space="preserve">Screening on </w:t>
      </w:r>
      <w:proofErr w:type="spellStart"/>
      <w:r w:rsidRPr="00092E05">
        <w:rPr>
          <w:i/>
          <w:iCs/>
          <w:sz w:val="23"/>
          <w:szCs w:val="23"/>
        </w:rPr>
        <w:t>indfmt</w:t>
      </w:r>
      <w:proofErr w:type="spellEnd"/>
      <w:r w:rsidRPr="00092E05">
        <w:rPr>
          <w:sz w:val="23"/>
          <w:szCs w:val="23"/>
        </w:rPr>
        <w:t xml:space="preserve">='INDL', </w:t>
      </w:r>
      <w:proofErr w:type="spellStart"/>
      <w:r w:rsidRPr="00092E05">
        <w:rPr>
          <w:i/>
          <w:iCs/>
          <w:sz w:val="23"/>
          <w:szCs w:val="23"/>
        </w:rPr>
        <w:t>datafmt</w:t>
      </w:r>
      <w:proofErr w:type="spellEnd"/>
      <w:r w:rsidRPr="00092E05">
        <w:rPr>
          <w:sz w:val="23"/>
          <w:szCs w:val="23"/>
        </w:rPr>
        <w:t xml:space="preserve">='STD', </w:t>
      </w:r>
      <w:proofErr w:type="spellStart"/>
      <w:r w:rsidRPr="00092E05">
        <w:rPr>
          <w:i/>
          <w:iCs/>
          <w:sz w:val="23"/>
          <w:szCs w:val="23"/>
        </w:rPr>
        <w:t>popsrc</w:t>
      </w:r>
      <w:proofErr w:type="spellEnd"/>
      <w:r w:rsidRPr="00092E05">
        <w:rPr>
          <w:sz w:val="23"/>
          <w:szCs w:val="23"/>
        </w:rPr>
        <w:t xml:space="preserve">='D', and </w:t>
      </w:r>
      <w:proofErr w:type="spellStart"/>
      <w:r w:rsidRPr="00092E05">
        <w:rPr>
          <w:i/>
          <w:iCs/>
          <w:sz w:val="23"/>
          <w:szCs w:val="23"/>
        </w:rPr>
        <w:t>consol</w:t>
      </w:r>
      <w:proofErr w:type="spellEnd"/>
      <w:r w:rsidRPr="00092E05">
        <w:rPr>
          <w:sz w:val="23"/>
          <w:szCs w:val="23"/>
        </w:rPr>
        <w:t xml:space="preserve">='C', will keep the vast majority of records and remove the duplicates from any </w:t>
      </w:r>
      <w:proofErr w:type="spellStart"/>
      <w:r w:rsidRPr="00092E05">
        <w:rPr>
          <w:i/>
          <w:iCs/>
          <w:sz w:val="23"/>
          <w:szCs w:val="23"/>
        </w:rPr>
        <w:t>gvkey-fyear</w:t>
      </w:r>
      <w:proofErr w:type="spellEnd"/>
      <w:r w:rsidRPr="00092E05">
        <w:rPr>
          <w:i/>
          <w:iCs/>
          <w:sz w:val="23"/>
          <w:szCs w:val="23"/>
        </w:rPr>
        <w:t xml:space="preserve"> </w:t>
      </w:r>
      <w:r w:rsidRPr="00092E05">
        <w:rPr>
          <w:sz w:val="23"/>
          <w:szCs w:val="23"/>
        </w:rPr>
        <w:t xml:space="preserve">pair. See Chapter 4 of </w:t>
      </w:r>
      <w:proofErr w:type="spellStart"/>
      <w:r w:rsidRPr="00092E05">
        <w:rPr>
          <w:b/>
          <w:sz w:val="23"/>
          <w:szCs w:val="23"/>
        </w:rPr>
        <w:t>Compustat’s</w:t>
      </w:r>
      <w:proofErr w:type="spellEnd"/>
      <w:r w:rsidRPr="00092E05">
        <w:rPr>
          <w:b/>
          <w:sz w:val="23"/>
          <w:szCs w:val="23"/>
        </w:rPr>
        <w:t xml:space="preserve"> "Using the Data" </w:t>
      </w:r>
      <w:r w:rsidRPr="00092E05">
        <w:rPr>
          <w:sz w:val="23"/>
          <w:szCs w:val="23"/>
        </w:rPr>
        <w:t xml:space="preserve">for detailed explanations of these additional codes. </w:t>
      </w:r>
    </w:p>
    <w:p w:rsidR="00092E05" w:rsidRDefault="00092E05" w:rsidP="00092E05">
      <w:pPr>
        <w:pStyle w:val="Default"/>
        <w:spacing w:line="360" w:lineRule="auto"/>
        <w:ind w:left="720"/>
        <w:rPr>
          <w:sz w:val="23"/>
          <w:szCs w:val="23"/>
        </w:rPr>
      </w:pPr>
    </w:p>
    <w:p w:rsidR="00092E05" w:rsidRDefault="00092E05" w:rsidP="00092E05">
      <w:pPr>
        <w:pStyle w:val="Default"/>
        <w:numPr>
          <w:ilvl w:val="0"/>
          <w:numId w:val="7"/>
        </w:numPr>
        <w:spacing w:line="360" w:lineRule="auto"/>
        <w:rPr>
          <w:sz w:val="23"/>
          <w:szCs w:val="23"/>
        </w:rPr>
      </w:pPr>
      <w:proofErr w:type="spellStart"/>
      <w:r w:rsidRPr="00092E05">
        <w:rPr>
          <w:sz w:val="23"/>
          <w:szCs w:val="23"/>
        </w:rPr>
        <w:t>Proc</w:t>
      </w:r>
      <w:proofErr w:type="spellEnd"/>
      <w:r w:rsidRPr="00092E05">
        <w:rPr>
          <w:sz w:val="23"/>
          <w:szCs w:val="23"/>
        </w:rPr>
        <w:t xml:space="preserve"> download transfers the data set to the local machine, where further processing is to be done. Once the data is transferred, the connection to WRDS is closed using </w:t>
      </w:r>
      <w:r w:rsidRPr="00092E05">
        <w:rPr>
          <w:b/>
          <w:bCs/>
          <w:i/>
          <w:iCs/>
          <w:sz w:val="23"/>
          <w:szCs w:val="23"/>
        </w:rPr>
        <w:t>signoff</w:t>
      </w:r>
      <w:r w:rsidRPr="00092E05">
        <w:rPr>
          <w:sz w:val="23"/>
          <w:szCs w:val="23"/>
        </w:rPr>
        <w:t xml:space="preserve">. </w:t>
      </w:r>
    </w:p>
    <w:p w:rsidR="00092E05" w:rsidRDefault="00092E05" w:rsidP="00092E05">
      <w:pPr>
        <w:pStyle w:val="Default"/>
        <w:spacing w:line="360" w:lineRule="auto"/>
        <w:ind w:left="720"/>
        <w:rPr>
          <w:sz w:val="23"/>
          <w:szCs w:val="23"/>
        </w:rPr>
      </w:pPr>
    </w:p>
    <w:p w:rsidR="00092E05" w:rsidRDefault="00092E05" w:rsidP="00092E05">
      <w:pPr>
        <w:pStyle w:val="Default"/>
        <w:numPr>
          <w:ilvl w:val="0"/>
          <w:numId w:val="7"/>
        </w:numPr>
        <w:spacing w:line="360" w:lineRule="auto"/>
        <w:jc w:val="both"/>
      </w:pPr>
      <w:r w:rsidRPr="00092E05">
        <w:rPr>
          <w:sz w:val="23"/>
          <w:szCs w:val="23"/>
        </w:rPr>
        <w:t xml:space="preserve">These three lines create a lagged variable, </w:t>
      </w:r>
      <w:proofErr w:type="spellStart"/>
      <w:r w:rsidRPr="00092E05">
        <w:rPr>
          <w:i/>
          <w:iCs/>
          <w:sz w:val="23"/>
          <w:szCs w:val="23"/>
        </w:rPr>
        <w:t>lag_at</w:t>
      </w:r>
      <w:proofErr w:type="spellEnd"/>
      <w:r w:rsidRPr="00092E05">
        <w:rPr>
          <w:sz w:val="23"/>
          <w:szCs w:val="23"/>
        </w:rPr>
        <w:t xml:space="preserve">, which </w:t>
      </w:r>
      <w:proofErr w:type="gramStart"/>
      <w:r w:rsidRPr="00092E05">
        <w:rPr>
          <w:sz w:val="23"/>
          <w:szCs w:val="23"/>
        </w:rPr>
        <w:t>is the prior year-end assets</w:t>
      </w:r>
      <w:proofErr w:type="gramEnd"/>
      <w:r w:rsidRPr="00092E05">
        <w:rPr>
          <w:sz w:val="23"/>
          <w:szCs w:val="23"/>
        </w:rPr>
        <w:t xml:space="preserve">. Notice that for the first year of this reduced dataset, the effect of this coding is to set the </w:t>
      </w:r>
      <w:proofErr w:type="spellStart"/>
      <w:r w:rsidRPr="00092E05">
        <w:rPr>
          <w:i/>
          <w:iCs/>
          <w:sz w:val="23"/>
          <w:szCs w:val="23"/>
        </w:rPr>
        <w:t>lag_at</w:t>
      </w:r>
      <w:proofErr w:type="spellEnd"/>
      <w:r w:rsidRPr="00092E05">
        <w:rPr>
          <w:i/>
          <w:iCs/>
          <w:sz w:val="23"/>
          <w:szCs w:val="23"/>
        </w:rPr>
        <w:t xml:space="preserve"> </w:t>
      </w:r>
      <w:r w:rsidRPr="00092E05">
        <w:rPr>
          <w:sz w:val="23"/>
          <w:szCs w:val="23"/>
        </w:rPr>
        <w:t xml:space="preserve">variable to missing, which is denoted by a period (.) in SAS. Also note that care has been taken to avoid placing the lag operator in a conditional statement. The following code looks equivalent and more compact, but will NOT produce correct results: </w:t>
      </w:r>
    </w:p>
    <w:p w:rsidR="00092E05" w:rsidRDefault="00092E05" w:rsidP="00092E05">
      <w:pPr>
        <w:pStyle w:val="Default"/>
        <w:spacing w:line="360" w:lineRule="auto"/>
        <w:ind w:left="720"/>
        <w:jc w:val="both"/>
        <w:rPr>
          <w:sz w:val="23"/>
          <w:szCs w:val="23"/>
        </w:rPr>
      </w:pPr>
      <w:r w:rsidRPr="00092E05">
        <w:rPr>
          <w:sz w:val="23"/>
          <w:szCs w:val="23"/>
        </w:rPr>
        <w:t xml:space="preserve">IF </w:t>
      </w:r>
      <w:proofErr w:type="spellStart"/>
      <w:r w:rsidRPr="00092E05">
        <w:rPr>
          <w:sz w:val="23"/>
          <w:szCs w:val="23"/>
        </w:rPr>
        <w:t>cusip</w:t>
      </w:r>
      <w:proofErr w:type="spellEnd"/>
      <w:r w:rsidRPr="00092E05">
        <w:rPr>
          <w:sz w:val="23"/>
          <w:szCs w:val="23"/>
        </w:rPr>
        <w:t>=</w:t>
      </w:r>
      <w:proofErr w:type="gramStart"/>
      <w:r w:rsidRPr="00092E05">
        <w:rPr>
          <w:sz w:val="23"/>
          <w:szCs w:val="23"/>
        </w:rPr>
        <w:t>lag(</w:t>
      </w:r>
      <w:proofErr w:type="spellStart"/>
      <w:proofErr w:type="gramEnd"/>
      <w:r w:rsidRPr="00092E05">
        <w:rPr>
          <w:sz w:val="23"/>
          <w:szCs w:val="23"/>
        </w:rPr>
        <w:t>cusip</w:t>
      </w:r>
      <w:proofErr w:type="spellEnd"/>
      <w:r w:rsidRPr="00092E05">
        <w:rPr>
          <w:sz w:val="23"/>
          <w:szCs w:val="23"/>
        </w:rPr>
        <w:t xml:space="preserve">) then </w:t>
      </w:r>
      <w:proofErr w:type="spellStart"/>
      <w:r w:rsidRPr="00092E05">
        <w:rPr>
          <w:sz w:val="23"/>
          <w:szCs w:val="23"/>
        </w:rPr>
        <w:t>lag_at</w:t>
      </w:r>
      <w:proofErr w:type="spellEnd"/>
      <w:r w:rsidRPr="00092E05">
        <w:rPr>
          <w:sz w:val="23"/>
          <w:szCs w:val="23"/>
        </w:rPr>
        <w:t>=lag(at);</w:t>
      </w:r>
    </w:p>
    <w:p w:rsidR="00092E05" w:rsidRPr="00092E05" w:rsidRDefault="00092E05" w:rsidP="00092E05">
      <w:pPr>
        <w:pStyle w:val="Default"/>
        <w:spacing w:line="360" w:lineRule="auto"/>
        <w:ind w:left="720"/>
        <w:jc w:val="both"/>
      </w:pPr>
    </w:p>
    <w:p w:rsidR="00092E05" w:rsidRDefault="00092E05" w:rsidP="00092E05">
      <w:pPr>
        <w:pStyle w:val="Default"/>
        <w:numPr>
          <w:ilvl w:val="0"/>
          <w:numId w:val="7"/>
        </w:numPr>
        <w:spacing w:line="360" w:lineRule="auto"/>
        <w:rPr>
          <w:sz w:val="23"/>
          <w:szCs w:val="23"/>
        </w:rPr>
      </w:pPr>
      <w:r w:rsidRPr="00092E05">
        <w:rPr>
          <w:sz w:val="23"/>
          <w:szCs w:val="23"/>
        </w:rPr>
        <w:t>ROA is earnings before extraordinary items (</w:t>
      </w:r>
      <w:proofErr w:type="spellStart"/>
      <w:proofErr w:type="gramStart"/>
      <w:r w:rsidRPr="00092E05">
        <w:rPr>
          <w:i/>
          <w:iCs/>
          <w:sz w:val="23"/>
          <w:szCs w:val="23"/>
        </w:rPr>
        <w:t>ib</w:t>
      </w:r>
      <w:proofErr w:type="spellEnd"/>
      <w:proofErr w:type="gramEnd"/>
      <w:r w:rsidRPr="00092E05">
        <w:rPr>
          <w:sz w:val="23"/>
          <w:szCs w:val="23"/>
        </w:rPr>
        <w:t xml:space="preserve">) divided by average assets. In general, when the division operator is used check first to make sure the denominator is not zero. </w:t>
      </w:r>
    </w:p>
    <w:p w:rsidR="00092E05" w:rsidRDefault="00092E05" w:rsidP="00092E05">
      <w:pPr>
        <w:pStyle w:val="Default"/>
        <w:spacing w:line="360" w:lineRule="auto"/>
        <w:ind w:left="720"/>
        <w:rPr>
          <w:sz w:val="23"/>
          <w:szCs w:val="23"/>
        </w:rPr>
      </w:pPr>
    </w:p>
    <w:p w:rsidR="00092E05" w:rsidRDefault="00092E05" w:rsidP="00092E05">
      <w:pPr>
        <w:pStyle w:val="Default"/>
        <w:numPr>
          <w:ilvl w:val="0"/>
          <w:numId w:val="7"/>
        </w:numPr>
        <w:spacing w:line="360" w:lineRule="auto"/>
        <w:rPr>
          <w:sz w:val="23"/>
          <w:szCs w:val="23"/>
        </w:rPr>
      </w:pPr>
      <w:r>
        <w:rPr>
          <w:sz w:val="23"/>
          <w:szCs w:val="23"/>
        </w:rPr>
        <w:t>Saving the data in computer (</w:t>
      </w:r>
      <w:proofErr w:type="spellStart"/>
      <w:r>
        <w:rPr>
          <w:rFonts w:ascii="Courier New" w:hAnsi="Courier New" w:cs="Courier New"/>
          <w:color w:val="0000FF"/>
          <w:sz w:val="20"/>
          <w:szCs w:val="20"/>
          <w:shd w:val="clear" w:color="auto" w:fill="FFFFFF"/>
        </w:rPr>
        <w:t>libname</w:t>
      </w:r>
      <w:proofErr w:type="spellEnd"/>
      <w:r>
        <w:rPr>
          <w:rFonts w:ascii="Courier New" w:hAnsi="Courier New" w:cs="Courier New"/>
          <w:sz w:val="20"/>
          <w:szCs w:val="20"/>
          <w:shd w:val="clear" w:color="auto" w:fill="FFFFFF"/>
        </w:rPr>
        <w:t xml:space="preserve"> </w:t>
      </w:r>
      <w:proofErr w:type="spellStart"/>
      <w:r>
        <w:rPr>
          <w:rFonts w:ascii="Courier New" w:hAnsi="Courier New" w:cs="Courier New"/>
          <w:sz w:val="20"/>
          <w:szCs w:val="20"/>
          <w:shd w:val="clear" w:color="auto" w:fill="FFFFFF"/>
        </w:rPr>
        <w:t>zafer</w:t>
      </w:r>
      <w:proofErr w:type="spellEnd"/>
      <w:r>
        <w:rPr>
          <w:rFonts w:ascii="Courier New" w:hAnsi="Courier New" w:cs="Courier New"/>
          <w:sz w:val="20"/>
          <w:szCs w:val="20"/>
          <w:shd w:val="clear" w:color="auto" w:fill="FFFFFF"/>
        </w:rPr>
        <w:t xml:space="preserve"> </w:t>
      </w:r>
      <w:r>
        <w:rPr>
          <w:rFonts w:ascii="Courier New" w:hAnsi="Courier New" w:cs="Courier New"/>
          <w:color w:val="800080"/>
          <w:sz w:val="20"/>
          <w:szCs w:val="20"/>
          <w:shd w:val="clear" w:color="auto" w:fill="FFFFFF"/>
        </w:rPr>
        <w:t>"C:\Users\zafer\Desktop"</w:t>
      </w:r>
      <w:r>
        <w:rPr>
          <w:rFonts w:ascii="Courier New" w:hAnsi="Courier New" w:cs="Courier New"/>
          <w:sz w:val="20"/>
          <w:szCs w:val="20"/>
          <w:shd w:val="clear" w:color="auto" w:fill="FFFFFF"/>
        </w:rPr>
        <w:t>;</w:t>
      </w:r>
      <w:r>
        <w:rPr>
          <w:sz w:val="23"/>
          <w:szCs w:val="23"/>
        </w:rPr>
        <w:t xml:space="preserve">) </w:t>
      </w:r>
    </w:p>
    <w:p w:rsidR="00092E05" w:rsidRDefault="00092E05" w:rsidP="00092E05">
      <w:pPr>
        <w:pStyle w:val="ListParagraph"/>
        <w:rPr>
          <w:sz w:val="23"/>
          <w:szCs w:val="23"/>
        </w:rPr>
      </w:pPr>
    </w:p>
    <w:p w:rsidR="00092E05" w:rsidRDefault="00092E05" w:rsidP="00092E05">
      <w:pPr>
        <w:pStyle w:val="Default"/>
        <w:numPr>
          <w:ilvl w:val="0"/>
          <w:numId w:val="7"/>
        </w:numPr>
        <w:spacing w:line="360" w:lineRule="auto"/>
        <w:rPr>
          <w:sz w:val="23"/>
          <w:szCs w:val="23"/>
        </w:rPr>
      </w:pPr>
      <w:r w:rsidRPr="00092E05">
        <w:rPr>
          <w:sz w:val="23"/>
          <w:szCs w:val="23"/>
        </w:rPr>
        <w:t xml:space="preserve">As a general practice, remember to print out a sample of observations to see if the results of the data extraction and manipulation are what you expected. Here the first 20 observations are printed, with the following result. Note that once the researcher has approved this result, the program can be modified to keep only the variables that will be used in subsequent processing. </w:t>
      </w:r>
    </w:p>
    <w:p w:rsidR="00C73705" w:rsidRDefault="00C73705" w:rsidP="00C73705">
      <w:pPr>
        <w:pStyle w:val="ListParagraph"/>
        <w:rPr>
          <w:sz w:val="23"/>
          <w:szCs w:val="23"/>
        </w:rPr>
      </w:pPr>
    </w:p>
    <w:p w:rsidR="00C73705" w:rsidRPr="00C73705" w:rsidRDefault="00C73705" w:rsidP="00C73705">
      <w:pPr>
        <w:pStyle w:val="Default"/>
        <w:spacing w:line="360" w:lineRule="auto"/>
        <w:rPr>
          <w:b/>
          <w:sz w:val="23"/>
          <w:szCs w:val="23"/>
        </w:rPr>
      </w:pPr>
      <w:r w:rsidRPr="00C73705">
        <w:rPr>
          <w:b/>
          <w:sz w:val="23"/>
          <w:szCs w:val="23"/>
          <w:highlight w:val="yellow"/>
        </w:rPr>
        <w:t xml:space="preserve">IMPORTANT NOTES: THE NAMES OF THE VARIABLES IN COMPUSTAT HAS BEEN </w:t>
      </w:r>
      <w:r>
        <w:rPr>
          <w:b/>
          <w:sz w:val="23"/>
          <w:szCs w:val="23"/>
          <w:highlight w:val="yellow"/>
        </w:rPr>
        <w:t xml:space="preserve">CHANGED OVER TIME: </w:t>
      </w:r>
      <w:hyperlink r:id="rId10" w:history="1">
        <w:r w:rsidRPr="00C73705">
          <w:rPr>
            <w:rStyle w:val="Hyperlink"/>
            <w:b/>
            <w:sz w:val="23"/>
            <w:szCs w:val="23"/>
            <w:highlight w:val="yellow"/>
          </w:rPr>
          <w:t>http://www.crsp.com/products/documentation/annual-data-industrial</w:t>
        </w:r>
      </w:hyperlink>
      <w:r w:rsidRPr="00C73705">
        <w:rPr>
          <w:b/>
          <w:sz w:val="23"/>
          <w:szCs w:val="23"/>
          <w:highlight w:val="yellow"/>
        </w:rPr>
        <w:t xml:space="preserve"> FOR CROSS REFERENCE.</w:t>
      </w:r>
    </w:p>
    <w:p w:rsidR="00092E05" w:rsidRDefault="00092E05" w:rsidP="00092E05">
      <w:pPr>
        <w:pStyle w:val="Default"/>
        <w:spacing w:line="360" w:lineRule="auto"/>
        <w:ind w:left="360"/>
        <w:jc w:val="both"/>
      </w:pPr>
      <w:r>
        <w:rPr>
          <w:noProof/>
        </w:rPr>
        <w:lastRenderedPageBreak/>
        <w:drawing>
          <wp:inline distT="0" distB="0" distL="0" distR="0">
            <wp:extent cx="5943600" cy="77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72400"/>
                    </a:xfrm>
                    <a:prstGeom prst="rect">
                      <a:avLst/>
                    </a:prstGeom>
                    <a:noFill/>
                    <a:ln>
                      <a:noFill/>
                    </a:ln>
                  </pic:spPr>
                </pic:pic>
              </a:graphicData>
            </a:graphic>
          </wp:inline>
        </w:drawing>
      </w:r>
    </w:p>
    <w:p w:rsidR="00B43977" w:rsidRDefault="00B43977" w:rsidP="00092E05">
      <w:pPr>
        <w:pStyle w:val="Default"/>
        <w:spacing w:line="360" w:lineRule="auto"/>
        <w:ind w:left="360"/>
        <w:jc w:val="both"/>
      </w:pPr>
    </w:p>
    <w:p w:rsidR="00B43977" w:rsidRPr="00727397" w:rsidRDefault="00B43977" w:rsidP="00092E05">
      <w:pPr>
        <w:pStyle w:val="Default"/>
        <w:spacing w:line="360" w:lineRule="auto"/>
        <w:ind w:left="360"/>
        <w:jc w:val="both"/>
        <w:rPr>
          <w:b/>
        </w:rPr>
      </w:pPr>
      <w:r w:rsidRPr="00727397">
        <w:rPr>
          <w:b/>
        </w:rPr>
        <w:lastRenderedPageBreak/>
        <w:t>Quarterly Data</w:t>
      </w:r>
    </w:p>
    <w:p w:rsidR="00B43977" w:rsidRDefault="00B43977" w:rsidP="00092E05">
      <w:pPr>
        <w:pStyle w:val="Default"/>
        <w:spacing w:line="360" w:lineRule="auto"/>
        <w:ind w:left="360"/>
        <w:jc w:val="both"/>
      </w:pPr>
      <w:r>
        <w:t xml:space="preserve">The next example program extracts data from quarterly </w:t>
      </w:r>
      <w:proofErr w:type="spellStart"/>
      <w:r>
        <w:t>Compustat</w:t>
      </w:r>
      <w:proofErr w:type="spellEnd"/>
      <w:r>
        <w:t xml:space="preserve"> for a group of firms, including earnings announcement date information</w:t>
      </w:r>
      <w:r w:rsidR="00D15299">
        <w:t>.</w:t>
      </w:r>
    </w:p>
    <w:p w:rsidR="004F4F9A" w:rsidRDefault="004F4F9A" w:rsidP="004F4F9A">
      <w:pPr>
        <w:pStyle w:val="Default"/>
        <w:spacing w:line="360" w:lineRule="auto"/>
        <w:ind w:left="360"/>
        <w:jc w:val="center"/>
      </w:pPr>
      <w:r>
        <w:rPr>
          <w:noProof/>
        </w:rPr>
        <w:drawing>
          <wp:inline distT="0" distB="0" distL="0" distR="0">
            <wp:extent cx="5934075" cy="7419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419975"/>
                    </a:xfrm>
                    <a:prstGeom prst="rect">
                      <a:avLst/>
                    </a:prstGeom>
                    <a:noFill/>
                    <a:ln>
                      <a:noFill/>
                    </a:ln>
                  </pic:spPr>
                </pic:pic>
              </a:graphicData>
            </a:graphic>
          </wp:inline>
        </w:drawing>
      </w:r>
    </w:p>
    <w:p w:rsidR="004F4F9A" w:rsidRDefault="004F4F9A" w:rsidP="004F4F9A">
      <w:pPr>
        <w:pStyle w:val="Default"/>
        <w:spacing w:line="360" w:lineRule="auto"/>
        <w:jc w:val="both"/>
      </w:pPr>
    </w:p>
    <w:p w:rsidR="004F4F9A" w:rsidRDefault="004F4F9A" w:rsidP="004F4F9A">
      <w:pPr>
        <w:pStyle w:val="Default"/>
        <w:numPr>
          <w:ilvl w:val="0"/>
          <w:numId w:val="9"/>
        </w:numPr>
        <w:spacing w:line="360" w:lineRule="auto"/>
        <w:jc w:val="both"/>
        <w:rPr>
          <w:sz w:val="23"/>
          <w:szCs w:val="23"/>
        </w:rPr>
      </w:pPr>
      <w:r>
        <w:rPr>
          <w:sz w:val="23"/>
          <w:szCs w:val="23"/>
        </w:rPr>
        <w:t>The quarterly data is in ‘</w:t>
      </w:r>
      <w:proofErr w:type="spellStart"/>
      <w:r>
        <w:rPr>
          <w:sz w:val="23"/>
          <w:szCs w:val="23"/>
        </w:rPr>
        <w:t>comp.fundq</w:t>
      </w:r>
      <w:proofErr w:type="spellEnd"/>
      <w:r>
        <w:rPr>
          <w:sz w:val="23"/>
          <w:szCs w:val="23"/>
        </w:rPr>
        <w:t xml:space="preserve">.’ The variable </w:t>
      </w:r>
      <w:proofErr w:type="spellStart"/>
      <w:r>
        <w:rPr>
          <w:i/>
          <w:iCs/>
          <w:sz w:val="23"/>
          <w:szCs w:val="23"/>
        </w:rPr>
        <w:t>rdq</w:t>
      </w:r>
      <w:proofErr w:type="spellEnd"/>
      <w:r>
        <w:rPr>
          <w:i/>
          <w:iCs/>
          <w:sz w:val="23"/>
          <w:szCs w:val="23"/>
        </w:rPr>
        <w:t xml:space="preserve"> </w:t>
      </w:r>
      <w:r>
        <w:rPr>
          <w:sz w:val="23"/>
          <w:szCs w:val="23"/>
        </w:rPr>
        <w:t xml:space="preserve">is the earnings announcement date, </w:t>
      </w:r>
      <w:proofErr w:type="spellStart"/>
      <w:r>
        <w:rPr>
          <w:i/>
          <w:iCs/>
          <w:sz w:val="23"/>
          <w:szCs w:val="23"/>
        </w:rPr>
        <w:t>datadate</w:t>
      </w:r>
      <w:proofErr w:type="spellEnd"/>
      <w:r>
        <w:rPr>
          <w:i/>
          <w:iCs/>
          <w:sz w:val="23"/>
          <w:szCs w:val="23"/>
        </w:rPr>
        <w:t xml:space="preserve"> </w:t>
      </w:r>
      <w:r>
        <w:rPr>
          <w:sz w:val="23"/>
          <w:szCs w:val="23"/>
        </w:rPr>
        <w:t xml:space="preserve">is the fiscal quarter end date, and </w:t>
      </w:r>
      <w:proofErr w:type="spellStart"/>
      <w:r>
        <w:rPr>
          <w:i/>
          <w:iCs/>
          <w:sz w:val="23"/>
          <w:szCs w:val="23"/>
        </w:rPr>
        <w:t>dlttq</w:t>
      </w:r>
      <w:proofErr w:type="spellEnd"/>
      <w:r>
        <w:rPr>
          <w:i/>
          <w:iCs/>
          <w:sz w:val="23"/>
          <w:szCs w:val="23"/>
        </w:rPr>
        <w:t xml:space="preserve"> </w:t>
      </w:r>
      <w:r>
        <w:rPr>
          <w:sz w:val="23"/>
          <w:szCs w:val="23"/>
        </w:rPr>
        <w:t xml:space="preserve">is total long-term debt reported on the quarterly report. </w:t>
      </w:r>
    </w:p>
    <w:p w:rsidR="004F4F9A" w:rsidRDefault="004F4F9A" w:rsidP="004F4F9A">
      <w:pPr>
        <w:pStyle w:val="Default"/>
        <w:spacing w:line="360" w:lineRule="auto"/>
        <w:jc w:val="both"/>
      </w:pPr>
    </w:p>
    <w:p w:rsidR="004F4F9A" w:rsidRPr="004F4F9A" w:rsidRDefault="004F4F9A" w:rsidP="004F4F9A">
      <w:pPr>
        <w:pStyle w:val="Default"/>
        <w:numPr>
          <w:ilvl w:val="0"/>
          <w:numId w:val="9"/>
        </w:numPr>
        <w:spacing w:line="360" w:lineRule="auto"/>
        <w:jc w:val="both"/>
        <w:rPr>
          <w:sz w:val="23"/>
          <w:szCs w:val="23"/>
        </w:rPr>
      </w:pPr>
      <w:r w:rsidRPr="004F4F9A">
        <w:rPr>
          <w:sz w:val="23"/>
          <w:szCs w:val="23"/>
        </w:rPr>
        <w:t>In this example we are interested in companies with an SIC code between 3000 and 4000 in the year 2006. Since the ‘</w:t>
      </w:r>
      <w:proofErr w:type="spellStart"/>
      <w:r w:rsidRPr="004F4F9A">
        <w:rPr>
          <w:sz w:val="23"/>
          <w:szCs w:val="23"/>
        </w:rPr>
        <w:t>comp.fundq</w:t>
      </w:r>
      <w:proofErr w:type="spellEnd"/>
      <w:r w:rsidRPr="004F4F9A">
        <w:rPr>
          <w:sz w:val="23"/>
          <w:szCs w:val="23"/>
        </w:rPr>
        <w:t xml:space="preserve">’ dataset does not have a </w:t>
      </w:r>
      <w:proofErr w:type="spellStart"/>
      <w:r w:rsidRPr="004F4F9A">
        <w:rPr>
          <w:i/>
          <w:iCs/>
          <w:sz w:val="23"/>
          <w:szCs w:val="23"/>
        </w:rPr>
        <w:t>sich</w:t>
      </w:r>
      <w:proofErr w:type="spellEnd"/>
      <w:r w:rsidRPr="004F4F9A">
        <w:rPr>
          <w:i/>
          <w:iCs/>
          <w:sz w:val="23"/>
          <w:szCs w:val="23"/>
        </w:rPr>
        <w:t xml:space="preserve"> </w:t>
      </w:r>
      <w:r>
        <w:rPr>
          <w:i/>
          <w:iCs/>
          <w:sz w:val="23"/>
          <w:szCs w:val="23"/>
        </w:rPr>
        <w:t xml:space="preserve">(SIC CODE) </w:t>
      </w:r>
      <w:r>
        <w:rPr>
          <w:sz w:val="23"/>
          <w:szCs w:val="23"/>
        </w:rPr>
        <w:t>variable, t</w:t>
      </w:r>
      <w:r w:rsidRPr="004F4F9A">
        <w:rPr>
          <w:sz w:val="23"/>
          <w:szCs w:val="23"/>
        </w:rPr>
        <w:t xml:space="preserve">his </w:t>
      </w:r>
      <w:proofErr w:type="spellStart"/>
      <w:r w:rsidRPr="004F4F9A">
        <w:rPr>
          <w:i/>
          <w:iCs/>
          <w:sz w:val="23"/>
          <w:szCs w:val="23"/>
        </w:rPr>
        <w:t>sich</w:t>
      </w:r>
      <w:proofErr w:type="spellEnd"/>
      <w:r w:rsidRPr="004F4F9A">
        <w:rPr>
          <w:i/>
          <w:iCs/>
          <w:sz w:val="23"/>
          <w:szCs w:val="23"/>
        </w:rPr>
        <w:t xml:space="preserve"> </w:t>
      </w:r>
      <w:r w:rsidRPr="004F4F9A">
        <w:rPr>
          <w:sz w:val="23"/>
          <w:szCs w:val="23"/>
        </w:rPr>
        <w:t>variable must be attained from the ‘</w:t>
      </w:r>
      <w:proofErr w:type="spellStart"/>
      <w:r w:rsidRPr="004F4F9A">
        <w:rPr>
          <w:sz w:val="23"/>
          <w:szCs w:val="23"/>
        </w:rPr>
        <w:t>comp.funda</w:t>
      </w:r>
      <w:proofErr w:type="spellEnd"/>
      <w:r w:rsidRPr="004F4F9A">
        <w:rPr>
          <w:sz w:val="23"/>
          <w:szCs w:val="23"/>
        </w:rPr>
        <w:t xml:space="preserve">’ dataset for the year of interest. </w:t>
      </w:r>
    </w:p>
    <w:p w:rsidR="004F4F9A" w:rsidRPr="004F4F9A" w:rsidRDefault="004F4F9A" w:rsidP="004F4F9A">
      <w:pPr>
        <w:pStyle w:val="Default"/>
        <w:spacing w:line="360" w:lineRule="auto"/>
        <w:ind w:left="720"/>
        <w:jc w:val="both"/>
        <w:rPr>
          <w:sz w:val="23"/>
          <w:szCs w:val="23"/>
        </w:rPr>
      </w:pPr>
    </w:p>
    <w:p w:rsidR="004F4F9A" w:rsidRDefault="004F4F9A" w:rsidP="004F4F9A">
      <w:pPr>
        <w:pStyle w:val="Default"/>
        <w:numPr>
          <w:ilvl w:val="0"/>
          <w:numId w:val="9"/>
        </w:numPr>
        <w:spacing w:line="360" w:lineRule="auto"/>
        <w:jc w:val="both"/>
        <w:rPr>
          <w:sz w:val="23"/>
          <w:szCs w:val="23"/>
        </w:rPr>
      </w:pPr>
      <w:r>
        <w:rPr>
          <w:sz w:val="23"/>
          <w:szCs w:val="23"/>
        </w:rPr>
        <w:t xml:space="preserve">Here we use the </w:t>
      </w:r>
      <w:proofErr w:type="spellStart"/>
      <w:r>
        <w:rPr>
          <w:sz w:val="23"/>
          <w:szCs w:val="23"/>
        </w:rPr>
        <w:t>Proc</w:t>
      </w:r>
      <w:proofErr w:type="spellEnd"/>
      <w:r>
        <w:rPr>
          <w:sz w:val="23"/>
          <w:szCs w:val="23"/>
        </w:rPr>
        <w:t xml:space="preserve"> SQL command to merge the </w:t>
      </w:r>
      <w:proofErr w:type="spellStart"/>
      <w:r>
        <w:rPr>
          <w:sz w:val="23"/>
          <w:szCs w:val="23"/>
        </w:rPr>
        <w:t>Comustat</w:t>
      </w:r>
      <w:proofErr w:type="spellEnd"/>
      <w:r>
        <w:rPr>
          <w:sz w:val="23"/>
          <w:szCs w:val="23"/>
        </w:rPr>
        <w:t xml:space="preserve"> quarterly data with the SIC code data based on </w:t>
      </w:r>
      <w:proofErr w:type="spellStart"/>
      <w:r>
        <w:rPr>
          <w:i/>
          <w:iCs/>
          <w:sz w:val="23"/>
          <w:szCs w:val="23"/>
        </w:rPr>
        <w:t>gvkey</w:t>
      </w:r>
      <w:proofErr w:type="spellEnd"/>
      <w:r>
        <w:rPr>
          <w:sz w:val="23"/>
          <w:szCs w:val="23"/>
        </w:rPr>
        <w:t xml:space="preserve">. </w:t>
      </w:r>
    </w:p>
    <w:p w:rsidR="004F4F9A" w:rsidRDefault="00666FB4" w:rsidP="004F4F9A">
      <w:pPr>
        <w:pStyle w:val="Default"/>
        <w:spacing w:line="360" w:lineRule="auto"/>
        <w:ind w:left="360"/>
      </w:pPr>
      <w:r>
        <w:rPr>
          <w:noProof/>
        </w:rPr>
        <w:drawing>
          <wp:inline distT="0" distB="0" distL="0" distR="0">
            <wp:extent cx="594360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rsidR="00666FB4" w:rsidRDefault="00666FB4" w:rsidP="004F4F9A">
      <w:pPr>
        <w:pStyle w:val="Default"/>
        <w:spacing w:line="360" w:lineRule="auto"/>
        <w:ind w:left="360"/>
      </w:pPr>
    </w:p>
    <w:p w:rsidR="00666FB4" w:rsidRDefault="00666FB4" w:rsidP="004F4F9A">
      <w:pPr>
        <w:pStyle w:val="Default"/>
        <w:spacing w:line="360" w:lineRule="auto"/>
        <w:ind w:left="360"/>
      </w:pPr>
    </w:p>
    <w:p w:rsidR="00666FB4" w:rsidRDefault="00666FB4" w:rsidP="004F4F9A">
      <w:pPr>
        <w:pStyle w:val="Default"/>
        <w:spacing w:line="360" w:lineRule="auto"/>
        <w:ind w:left="360"/>
      </w:pPr>
    </w:p>
    <w:p w:rsidR="00666FB4" w:rsidRDefault="00666FB4" w:rsidP="004F4F9A">
      <w:pPr>
        <w:pStyle w:val="Default"/>
        <w:spacing w:line="360" w:lineRule="auto"/>
        <w:ind w:left="360"/>
      </w:pPr>
    </w:p>
    <w:p w:rsidR="00666FB4" w:rsidRDefault="00666FB4" w:rsidP="004F4F9A">
      <w:pPr>
        <w:pStyle w:val="Default"/>
        <w:spacing w:line="360" w:lineRule="auto"/>
        <w:ind w:left="360"/>
      </w:pPr>
    </w:p>
    <w:p w:rsidR="00666FB4" w:rsidRDefault="00666FB4" w:rsidP="004F4F9A">
      <w:pPr>
        <w:pStyle w:val="Default"/>
        <w:spacing w:line="360" w:lineRule="auto"/>
        <w:ind w:left="360"/>
      </w:pPr>
    </w:p>
    <w:p w:rsidR="00727397" w:rsidRDefault="00727397" w:rsidP="004F4F9A">
      <w:pPr>
        <w:pStyle w:val="Default"/>
        <w:spacing w:line="360" w:lineRule="auto"/>
        <w:ind w:left="360"/>
      </w:pPr>
    </w:p>
    <w:p w:rsidR="00727397" w:rsidRDefault="00727397" w:rsidP="004F4F9A">
      <w:pPr>
        <w:pStyle w:val="Default"/>
        <w:spacing w:line="360" w:lineRule="auto"/>
        <w:ind w:left="360"/>
      </w:pPr>
    </w:p>
    <w:p w:rsidR="00727397" w:rsidRPr="00727397" w:rsidRDefault="00727397" w:rsidP="00727397">
      <w:pPr>
        <w:pStyle w:val="Default"/>
        <w:rPr>
          <w:b/>
          <w:bCs/>
        </w:rPr>
      </w:pPr>
      <w:r w:rsidRPr="00727397">
        <w:rPr>
          <w:b/>
          <w:bCs/>
        </w:rPr>
        <w:lastRenderedPageBreak/>
        <w:t xml:space="preserve">Standard &amp; </w:t>
      </w:r>
      <w:proofErr w:type="spellStart"/>
      <w:r w:rsidRPr="00727397">
        <w:rPr>
          <w:b/>
          <w:bCs/>
        </w:rPr>
        <w:t>Poors</w:t>
      </w:r>
      <w:proofErr w:type="spellEnd"/>
      <w:r w:rsidRPr="00727397">
        <w:rPr>
          <w:b/>
          <w:bCs/>
        </w:rPr>
        <w:t xml:space="preserve"> </w:t>
      </w:r>
      <w:proofErr w:type="spellStart"/>
      <w:r w:rsidRPr="00727397">
        <w:rPr>
          <w:b/>
          <w:bCs/>
        </w:rPr>
        <w:t>Execucomp</w:t>
      </w:r>
      <w:proofErr w:type="spellEnd"/>
      <w:r w:rsidRPr="00727397">
        <w:rPr>
          <w:b/>
          <w:bCs/>
        </w:rPr>
        <w:t xml:space="preserve"> </w:t>
      </w:r>
    </w:p>
    <w:p w:rsidR="00727397" w:rsidRPr="00727397" w:rsidRDefault="00727397" w:rsidP="00727397">
      <w:pPr>
        <w:pStyle w:val="Default"/>
      </w:pPr>
    </w:p>
    <w:p w:rsidR="00727397" w:rsidRPr="00727397" w:rsidRDefault="00727397" w:rsidP="00727397">
      <w:pPr>
        <w:pStyle w:val="Default"/>
        <w:spacing w:line="360" w:lineRule="auto"/>
        <w:ind w:left="360"/>
        <w:jc w:val="both"/>
      </w:pPr>
      <w:r w:rsidRPr="00727397">
        <w:t xml:space="preserve">The final database in this section is not technically </w:t>
      </w:r>
      <w:proofErr w:type="spellStart"/>
      <w:r w:rsidRPr="00727397">
        <w:t>Compustat</w:t>
      </w:r>
      <w:proofErr w:type="spellEnd"/>
      <w:r w:rsidRPr="00727397">
        <w:t xml:space="preserve">, but is distributed by Standard and </w:t>
      </w:r>
      <w:proofErr w:type="spellStart"/>
      <w:r w:rsidRPr="00727397">
        <w:t>Poors</w:t>
      </w:r>
      <w:proofErr w:type="spellEnd"/>
      <w:r w:rsidRPr="00727397">
        <w:t xml:space="preserve">, which also distributes </w:t>
      </w:r>
      <w:proofErr w:type="spellStart"/>
      <w:r w:rsidRPr="00727397">
        <w:t>Compustat</w:t>
      </w:r>
      <w:proofErr w:type="spellEnd"/>
      <w:r w:rsidRPr="00727397">
        <w:t xml:space="preserve">. </w:t>
      </w:r>
      <w:proofErr w:type="spellStart"/>
      <w:r w:rsidRPr="00727397">
        <w:t>Execucomp</w:t>
      </w:r>
      <w:proofErr w:type="spellEnd"/>
      <w:r w:rsidRPr="00727397">
        <w:t xml:space="preserve"> includes compensation data collected from proxy disclosures of firms. The data includes cash compensation (salary and bonus), equity compensation (stock and option grants) and other information for each executive. Here is a little program to find the highest paid executives of 2006:</w:t>
      </w:r>
    </w:p>
    <w:p w:rsidR="00666FB4" w:rsidRDefault="00666FB4" w:rsidP="004F4F9A">
      <w:pPr>
        <w:pStyle w:val="Default"/>
        <w:spacing w:line="360" w:lineRule="auto"/>
        <w:ind w:left="360"/>
      </w:pPr>
    </w:p>
    <w:p w:rsidR="00727397" w:rsidRDefault="00727397" w:rsidP="004F4F9A">
      <w:pPr>
        <w:pStyle w:val="Default"/>
        <w:spacing w:line="360" w:lineRule="auto"/>
        <w:ind w:left="360"/>
      </w:pPr>
      <w:r>
        <w:rPr>
          <w:noProof/>
        </w:rPr>
        <w:drawing>
          <wp:inline distT="0" distB="0" distL="0" distR="0">
            <wp:extent cx="5943600" cy="5895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895975"/>
                    </a:xfrm>
                    <a:prstGeom prst="rect">
                      <a:avLst/>
                    </a:prstGeom>
                    <a:noFill/>
                    <a:ln>
                      <a:noFill/>
                    </a:ln>
                  </pic:spPr>
                </pic:pic>
              </a:graphicData>
            </a:graphic>
          </wp:inline>
        </w:drawing>
      </w:r>
    </w:p>
    <w:p w:rsidR="00666FB4" w:rsidRDefault="00666FB4" w:rsidP="004F4F9A">
      <w:pPr>
        <w:pStyle w:val="Default"/>
        <w:spacing w:line="360" w:lineRule="auto"/>
        <w:ind w:left="360"/>
      </w:pPr>
    </w:p>
    <w:p w:rsidR="00F715E4" w:rsidRPr="00F715E4" w:rsidRDefault="00F715E4" w:rsidP="00F715E4">
      <w:pPr>
        <w:pStyle w:val="Default"/>
        <w:jc w:val="both"/>
      </w:pPr>
    </w:p>
    <w:p w:rsidR="00F715E4" w:rsidRPr="00F715E4" w:rsidRDefault="00F715E4" w:rsidP="00F715E4">
      <w:pPr>
        <w:pStyle w:val="Default"/>
        <w:spacing w:line="360" w:lineRule="auto"/>
        <w:jc w:val="both"/>
      </w:pPr>
      <w:r w:rsidRPr="00F715E4">
        <w:t xml:space="preserve">A. The main </w:t>
      </w:r>
      <w:proofErr w:type="spellStart"/>
      <w:r w:rsidRPr="00F715E4">
        <w:t>Execucomp</w:t>
      </w:r>
      <w:proofErr w:type="spellEnd"/>
      <w:r w:rsidRPr="00F715E4">
        <w:t xml:space="preserve"> data file is ‘</w:t>
      </w:r>
      <w:proofErr w:type="spellStart"/>
      <w:r w:rsidRPr="00F715E4">
        <w:t>anncomp</w:t>
      </w:r>
      <w:proofErr w:type="spellEnd"/>
      <w:r w:rsidRPr="00F715E4">
        <w:t xml:space="preserve">.’ Here the retained variables include executive name, age and title, and compensation components, for 2006. </w:t>
      </w:r>
    </w:p>
    <w:p w:rsidR="00F715E4" w:rsidRPr="00F715E4" w:rsidRDefault="00F715E4" w:rsidP="00F715E4">
      <w:pPr>
        <w:pStyle w:val="Default"/>
        <w:spacing w:line="360" w:lineRule="auto"/>
        <w:jc w:val="both"/>
      </w:pPr>
    </w:p>
    <w:p w:rsidR="00F715E4" w:rsidRPr="00F715E4" w:rsidRDefault="00F715E4" w:rsidP="00F715E4">
      <w:pPr>
        <w:pStyle w:val="Default"/>
        <w:spacing w:line="360" w:lineRule="auto"/>
        <w:jc w:val="both"/>
      </w:pPr>
      <w:r w:rsidRPr="00F715E4">
        <w:t xml:space="preserve">B. Cash compensation includes salary and bonus, and equity incentive compensation includes stock and option awards. </w:t>
      </w:r>
    </w:p>
    <w:p w:rsidR="00F715E4" w:rsidRPr="00F715E4" w:rsidRDefault="00F715E4" w:rsidP="00F715E4">
      <w:pPr>
        <w:pStyle w:val="Default"/>
        <w:spacing w:line="360" w:lineRule="auto"/>
        <w:jc w:val="both"/>
      </w:pPr>
    </w:p>
    <w:p w:rsidR="00F715E4" w:rsidRPr="00F715E4" w:rsidRDefault="00F715E4" w:rsidP="00F715E4">
      <w:pPr>
        <w:pStyle w:val="Default"/>
        <w:spacing w:line="360" w:lineRule="auto"/>
        <w:jc w:val="both"/>
      </w:pPr>
      <w:r w:rsidRPr="00F715E4">
        <w:t xml:space="preserve">C. After sorting on total compensation, information about the ten highest paid executives. Total compensation for these fat cats ranged from $39.5 million to over $89 million, and four out of the top 10 were at Merrill Lynch: </w:t>
      </w:r>
    </w:p>
    <w:p w:rsidR="00666FB4" w:rsidRDefault="00F715E4" w:rsidP="00F715E4">
      <w:pPr>
        <w:pStyle w:val="Default"/>
        <w:spacing w:line="360" w:lineRule="auto"/>
        <w:ind w:left="360"/>
        <w:jc w:val="center"/>
      </w:pPr>
      <w:r>
        <w:rPr>
          <w:noProof/>
        </w:rPr>
        <w:drawing>
          <wp:inline distT="0" distB="0" distL="0" distR="0">
            <wp:extent cx="5943600" cy="2771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71775"/>
                    </a:xfrm>
                    <a:prstGeom prst="rect">
                      <a:avLst/>
                    </a:prstGeom>
                    <a:noFill/>
                    <a:ln>
                      <a:noFill/>
                    </a:ln>
                  </pic:spPr>
                </pic:pic>
              </a:graphicData>
            </a:graphic>
          </wp:inline>
        </w:drawing>
      </w:r>
    </w:p>
    <w:p w:rsidR="001952FF" w:rsidRPr="001952FF" w:rsidRDefault="001952FF" w:rsidP="001952FF">
      <w:pPr>
        <w:pStyle w:val="Default"/>
        <w:rPr>
          <w:b/>
          <w:bCs/>
        </w:rPr>
      </w:pPr>
      <w:r w:rsidRPr="001952FF">
        <w:rPr>
          <w:b/>
          <w:bCs/>
        </w:rPr>
        <w:t xml:space="preserve">EXERCISES </w:t>
      </w:r>
    </w:p>
    <w:p w:rsidR="001952FF" w:rsidRPr="001952FF" w:rsidRDefault="001952FF" w:rsidP="001952FF">
      <w:pPr>
        <w:pStyle w:val="Default"/>
      </w:pPr>
    </w:p>
    <w:p w:rsidR="001952FF" w:rsidRPr="001952FF" w:rsidRDefault="001952FF" w:rsidP="001952FF">
      <w:pPr>
        <w:pStyle w:val="Default"/>
        <w:spacing w:line="360" w:lineRule="auto"/>
      </w:pPr>
      <w:r w:rsidRPr="001952FF">
        <w:t xml:space="preserve">1. Use the </w:t>
      </w:r>
      <w:proofErr w:type="spellStart"/>
      <w:r w:rsidRPr="001952FF">
        <w:t>Compustat</w:t>
      </w:r>
      <w:proofErr w:type="spellEnd"/>
      <w:r w:rsidRPr="001952FF">
        <w:t xml:space="preserve"> annual dataset to select a sample of firms with 2006 R&amp;D expense greater than 5% of sales. Use </w:t>
      </w:r>
      <w:proofErr w:type="spellStart"/>
      <w:r w:rsidRPr="001952FF">
        <w:t>Proc</w:t>
      </w:r>
      <w:proofErr w:type="spellEnd"/>
      <w:r w:rsidRPr="001952FF">
        <w:t xml:space="preserve"> </w:t>
      </w:r>
      <w:proofErr w:type="spellStart"/>
      <w:r w:rsidRPr="001952FF">
        <w:t>Freq</w:t>
      </w:r>
      <w:proofErr w:type="spellEnd"/>
      <w:r w:rsidRPr="001952FF">
        <w:t xml:space="preserve"> to tabulate the industries of the firms, and use </w:t>
      </w:r>
      <w:proofErr w:type="spellStart"/>
      <w:r w:rsidRPr="001952FF">
        <w:t>Proc</w:t>
      </w:r>
      <w:proofErr w:type="spellEnd"/>
      <w:r w:rsidRPr="001952FF">
        <w:t xml:space="preserve"> </w:t>
      </w:r>
      <w:proofErr w:type="spellStart"/>
      <w:r w:rsidRPr="001952FF">
        <w:t>Univariate</w:t>
      </w:r>
      <w:proofErr w:type="spellEnd"/>
      <w:r w:rsidRPr="001952FF">
        <w:t xml:space="preserve"> to look at the distribution of the R&amp;D/Sales percentage. </w:t>
      </w:r>
    </w:p>
    <w:p w:rsidR="001952FF" w:rsidRPr="001952FF" w:rsidRDefault="001952FF" w:rsidP="001952FF">
      <w:pPr>
        <w:pStyle w:val="Default"/>
        <w:spacing w:line="360" w:lineRule="auto"/>
      </w:pPr>
      <w:r w:rsidRPr="001952FF">
        <w:t xml:space="preserve">2. Use the </w:t>
      </w:r>
      <w:proofErr w:type="spellStart"/>
      <w:r w:rsidRPr="001952FF">
        <w:t>Compustat</w:t>
      </w:r>
      <w:proofErr w:type="spellEnd"/>
      <w:r w:rsidRPr="001952FF">
        <w:t xml:space="preserve"> quarterly dataset to identify the 10% of 2006 firm-quarters with positive income before tax and lowest tax rates. Are these firms concentrated by industry? What </w:t>
      </w:r>
      <w:proofErr w:type="gramStart"/>
      <w:r w:rsidRPr="001952FF">
        <w:t>is</w:t>
      </w:r>
      <w:proofErr w:type="gramEnd"/>
      <w:r w:rsidRPr="001952FF">
        <w:t xml:space="preserve"> the mean, median, 25% </w:t>
      </w:r>
      <w:proofErr w:type="spellStart"/>
      <w:r w:rsidRPr="001952FF">
        <w:t>decile</w:t>
      </w:r>
      <w:proofErr w:type="spellEnd"/>
      <w:r w:rsidRPr="001952FF">
        <w:t xml:space="preserve">, and 75% </w:t>
      </w:r>
      <w:proofErr w:type="spellStart"/>
      <w:r w:rsidRPr="001952FF">
        <w:t>decile</w:t>
      </w:r>
      <w:proofErr w:type="spellEnd"/>
      <w:r w:rsidRPr="001952FF">
        <w:t xml:space="preserve"> of the market value of these low tax rate firms? </w:t>
      </w:r>
    </w:p>
    <w:p w:rsidR="001952FF" w:rsidRPr="001952FF" w:rsidRDefault="001952FF" w:rsidP="001952FF">
      <w:pPr>
        <w:pStyle w:val="Default"/>
        <w:spacing w:line="360" w:lineRule="auto"/>
      </w:pPr>
      <w:r w:rsidRPr="001952FF">
        <w:t xml:space="preserve">3. Use the </w:t>
      </w:r>
      <w:proofErr w:type="spellStart"/>
      <w:r w:rsidRPr="001952FF">
        <w:t>Execucomp</w:t>
      </w:r>
      <w:proofErr w:type="spellEnd"/>
      <w:r w:rsidRPr="001952FF">
        <w:t xml:space="preserve"> data to identify the 10% of CEOs who got the largest percent increases in cash </w:t>
      </w:r>
    </w:p>
    <w:p w:rsidR="001952FF" w:rsidRDefault="001952FF" w:rsidP="001952FF">
      <w:pPr>
        <w:pStyle w:val="Default"/>
        <w:spacing w:line="360" w:lineRule="auto"/>
        <w:ind w:left="720"/>
        <w:jc w:val="both"/>
      </w:pPr>
    </w:p>
    <w:p w:rsidR="001952FF" w:rsidRPr="001952FF" w:rsidRDefault="001952FF" w:rsidP="001952FF">
      <w:pPr>
        <w:pStyle w:val="Default"/>
        <w:numPr>
          <w:ilvl w:val="0"/>
          <w:numId w:val="3"/>
        </w:numPr>
        <w:spacing w:line="360" w:lineRule="auto"/>
        <w:jc w:val="both"/>
        <w:rPr>
          <w:b/>
        </w:rPr>
      </w:pPr>
      <w:r w:rsidRPr="001952FF">
        <w:rPr>
          <w:b/>
        </w:rPr>
        <w:lastRenderedPageBreak/>
        <w:t>CRSP DATA</w:t>
      </w:r>
    </w:p>
    <w:p w:rsidR="001952FF" w:rsidRDefault="001952FF" w:rsidP="001952FF">
      <w:pPr>
        <w:pStyle w:val="Default"/>
        <w:spacing w:line="360" w:lineRule="auto"/>
      </w:pPr>
    </w:p>
    <w:p w:rsidR="001952FF" w:rsidRDefault="001952FF" w:rsidP="001952FF">
      <w:pPr>
        <w:pStyle w:val="Default"/>
        <w:spacing w:line="360" w:lineRule="auto"/>
      </w:pPr>
      <w:r w:rsidRPr="001952FF">
        <w:t>The Center for Research in Security Prices, often known by its acronym CRSP, maintains security price, return, and volume data for the NYSE, AMEX and NASDAQ stock markets. Copies of the CRSP data manuals are available online in the Documentation and Manuals section of the WRDS web site. WRDS also provides numerous sample programs for executing common analysis task. In general, before you start programming, always check to see if one of the sample programs will help you.</w:t>
      </w:r>
    </w:p>
    <w:p w:rsidR="007C6871" w:rsidRPr="001952FF" w:rsidRDefault="007C6871" w:rsidP="001952FF">
      <w:pPr>
        <w:pStyle w:val="Default"/>
        <w:spacing w:line="360" w:lineRule="auto"/>
      </w:pPr>
    </w:p>
    <w:p w:rsidR="001952FF" w:rsidRDefault="007C6871" w:rsidP="001952FF">
      <w:pPr>
        <w:pStyle w:val="Default"/>
        <w:spacing w:line="360" w:lineRule="auto"/>
        <w:ind w:left="360"/>
        <w:jc w:val="both"/>
      </w:pPr>
      <w:r>
        <w:rPr>
          <w:noProof/>
        </w:rPr>
        <w:drawing>
          <wp:inline distT="0" distB="0" distL="0" distR="0">
            <wp:extent cx="5934075" cy="3486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486150"/>
                    </a:xfrm>
                    <a:prstGeom prst="rect">
                      <a:avLst/>
                    </a:prstGeom>
                    <a:noFill/>
                    <a:ln>
                      <a:noFill/>
                    </a:ln>
                  </pic:spPr>
                </pic:pic>
              </a:graphicData>
            </a:graphic>
          </wp:inline>
        </w:drawing>
      </w:r>
    </w:p>
    <w:p w:rsidR="007C6871" w:rsidRDefault="007C6871" w:rsidP="001952FF">
      <w:pPr>
        <w:pStyle w:val="Default"/>
        <w:spacing w:line="360" w:lineRule="auto"/>
        <w:ind w:left="360"/>
        <w:jc w:val="both"/>
      </w:pPr>
    </w:p>
    <w:p w:rsidR="007C6871" w:rsidRDefault="007C6871" w:rsidP="001952FF">
      <w:pPr>
        <w:pStyle w:val="Default"/>
        <w:spacing w:line="360" w:lineRule="auto"/>
        <w:ind w:left="360"/>
        <w:jc w:val="both"/>
      </w:pPr>
      <w:r>
        <w:t>The following program obtains market value</w:t>
      </w:r>
      <w:r w:rsidR="005F4CB6">
        <w:t xml:space="preserve"> (current and previous month)</w:t>
      </w:r>
      <w:r>
        <w:t>,</w:t>
      </w:r>
      <w:r w:rsidR="005F4CB6">
        <w:t xml:space="preserve"> price (current and previous month), </w:t>
      </w:r>
      <w:r>
        <w:t xml:space="preserve">total share outstanding </w:t>
      </w:r>
      <w:r w:rsidR="005F4CB6">
        <w:t>(current and previous month)</w:t>
      </w: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r>
        <w:rPr>
          <w:noProof/>
        </w:rPr>
        <w:lastRenderedPageBreak/>
        <w:drawing>
          <wp:inline distT="0" distB="0" distL="0" distR="0">
            <wp:extent cx="5629275" cy="7239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7239000"/>
                    </a:xfrm>
                    <a:prstGeom prst="rect">
                      <a:avLst/>
                    </a:prstGeom>
                    <a:noFill/>
                    <a:ln>
                      <a:noFill/>
                    </a:ln>
                  </pic:spPr>
                </pic:pic>
              </a:graphicData>
            </a:graphic>
          </wp:inline>
        </w:drawing>
      </w: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5F4CB6" w:rsidRDefault="005F4CB6" w:rsidP="001952FF">
      <w:pPr>
        <w:pStyle w:val="Default"/>
        <w:spacing w:line="360" w:lineRule="auto"/>
        <w:ind w:left="360"/>
        <w:jc w:val="both"/>
      </w:pPr>
    </w:p>
    <w:p w:rsidR="00D50B2D" w:rsidRDefault="005F4CB6" w:rsidP="005F4CB6">
      <w:pPr>
        <w:pStyle w:val="Default"/>
        <w:numPr>
          <w:ilvl w:val="0"/>
          <w:numId w:val="11"/>
        </w:numPr>
        <w:spacing w:line="360" w:lineRule="auto"/>
        <w:jc w:val="both"/>
      </w:pPr>
      <w:r>
        <w:lastRenderedPageBreak/>
        <w:t>Variables needed for price, return and</w:t>
      </w:r>
      <w:r w:rsidR="00D50B2D">
        <w:t xml:space="preserve"> total share outstanding. </w:t>
      </w:r>
    </w:p>
    <w:p w:rsidR="005F4CB6" w:rsidRDefault="00D50B2D" w:rsidP="005F4CB6">
      <w:pPr>
        <w:pStyle w:val="Default"/>
        <w:numPr>
          <w:ilvl w:val="0"/>
          <w:numId w:val="11"/>
        </w:numPr>
        <w:spacing w:line="360" w:lineRule="auto"/>
        <w:jc w:val="both"/>
      </w:pPr>
      <w:proofErr w:type="spellStart"/>
      <w:proofErr w:type="gramStart"/>
      <w:r w:rsidRPr="00D50B2D">
        <w:rPr>
          <w:i/>
        </w:rPr>
        <w:t>cfacshr</w:t>
      </w:r>
      <w:proofErr w:type="spellEnd"/>
      <w:proofErr w:type="gramEnd"/>
      <w:r>
        <w:t xml:space="preserve"> and </w:t>
      </w:r>
      <w:proofErr w:type="spellStart"/>
      <w:r w:rsidRPr="00D50B2D">
        <w:rPr>
          <w:i/>
        </w:rPr>
        <w:t>cfacpr</w:t>
      </w:r>
      <w:proofErr w:type="spellEnd"/>
      <w:r>
        <w:t xml:space="preserve"> are CRSP adjustment factors for share outstanding and stock price.</w:t>
      </w:r>
    </w:p>
    <w:p w:rsidR="00D50B2D" w:rsidRDefault="00D50B2D" w:rsidP="005F4CB6">
      <w:pPr>
        <w:pStyle w:val="Default"/>
        <w:numPr>
          <w:ilvl w:val="0"/>
          <w:numId w:val="11"/>
        </w:numPr>
        <w:spacing w:line="360" w:lineRule="auto"/>
        <w:jc w:val="both"/>
      </w:pPr>
      <w:r w:rsidRPr="00D50B2D">
        <w:t>Creating Labels</w:t>
      </w:r>
    </w:p>
    <w:p w:rsidR="00D50B2D" w:rsidRDefault="00D50B2D" w:rsidP="005F4CB6">
      <w:pPr>
        <w:pStyle w:val="Default"/>
        <w:numPr>
          <w:ilvl w:val="0"/>
          <w:numId w:val="11"/>
        </w:numPr>
        <w:spacing w:line="360" w:lineRule="auto"/>
        <w:jc w:val="both"/>
      </w:pPr>
      <w:r>
        <w:t>Formatting the variables</w:t>
      </w:r>
    </w:p>
    <w:p w:rsidR="007F7D40" w:rsidRDefault="007F7D40" w:rsidP="007F7D40">
      <w:pPr>
        <w:pStyle w:val="Default"/>
        <w:spacing w:line="360" w:lineRule="auto"/>
        <w:jc w:val="both"/>
      </w:pPr>
      <w:r>
        <w:rPr>
          <w:noProof/>
        </w:rPr>
        <w:drawing>
          <wp:inline distT="0" distB="0" distL="0" distR="0">
            <wp:extent cx="6407710" cy="452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7710" cy="4524375"/>
                    </a:xfrm>
                    <a:prstGeom prst="rect">
                      <a:avLst/>
                    </a:prstGeom>
                    <a:noFill/>
                    <a:ln>
                      <a:noFill/>
                    </a:ln>
                  </pic:spPr>
                </pic:pic>
              </a:graphicData>
            </a:graphic>
          </wp:inline>
        </w:drawing>
      </w: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Default="00F74FAA" w:rsidP="007F7D40">
      <w:pPr>
        <w:pStyle w:val="Default"/>
        <w:spacing w:line="360" w:lineRule="auto"/>
        <w:jc w:val="both"/>
      </w:pPr>
    </w:p>
    <w:p w:rsidR="00F74FAA" w:rsidRPr="00F74FAA" w:rsidRDefault="00F74FAA" w:rsidP="00F74FAA">
      <w:pPr>
        <w:pStyle w:val="Default"/>
        <w:numPr>
          <w:ilvl w:val="0"/>
          <w:numId w:val="3"/>
        </w:numPr>
        <w:spacing w:line="360" w:lineRule="auto"/>
        <w:jc w:val="both"/>
        <w:rPr>
          <w:b/>
        </w:rPr>
      </w:pPr>
      <w:r w:rsidRPr="00F74FAA">
        <w:rPr>
          <w:b/>
        </w:rPr>
        <w:lastRenderedPageBreak/>
        <w:t>Merging Datasets</w:t>
      </w:r>
    </w:p>
    <w:p w:rsidR="00F74FAA" w:rsidRPr="00F74FAA" w:rsidRDefault="00F74FAA" w:rsidP="00F74FAA">
      <w:pPr>
        <w:pStyle w:val="Default"/>
        <w:spacing w:line="360" w:lineRule="auto"/>
        <w:jc w:val="both"/>
      </w:pPr>
    </w:p>
    <w:p w:rsidR="00F74FAA" w:rsidRDefault="00F74FAA" w:rsidP="00F74FAA">
      <w:pPr>
        <w:pStyle w:val="Default"/>
        <w:spacing w:line="360" w:lineRule="auto"/>
        <w:jc w:val="both"/>
      </w:pPr>
      <w:r w:rsidRPr="00F74FAA">
        <w:t>One of the primary challenges in Accounting and Finance Research is the merging of data from different datasets. The major problem is that most of the datasets are organized based on proprietary primary identifiers that are not shared by other datasets. The identifiers used in different datasets are summarized in the following table.</w:t>
      </w:r>
    </w:p>
    <w:p w:rsidR="00F74FAA" w:rsidRPr="00F74FAA" w:rsidRDefault="00F74FAA" w:rsidP="00F74FAA">
      <w:pPr>
        <w:pStyle w:val="Default"/>
        <w:spacing w:line="360" w:lineRule="auto"/>
        <w:jc w:val="both"/>
      </w:pPr>
    </w:p>
    <w:tbl>
      <w:tblPr>
        <w:tblStyle w:val="TableGrid"/>
        <w:tblW w:w="0" w:type="auto"/>
        <w:tblLook w:val="04A0" w:firstRow="1" w:lastRow="0" w:firstColumn="1" w:lastColumn="0" w:noHBand="0" w:noVBand="1"/>
      </w:tblPr>
      <w:tblGrid>
        <w:gridCol w:w="3192"/>
        <w:gridCol w:w="3192"/>
        <w:gridCol w:w="3192"/>
      </w:tblGrid>
      <w:tr w:rsidR="00F74FAA" w:rsidRPr="00F74FAA" w:rsidTr="00F74FAA">
        <w:tc>
          <w:tcPr>
            <w:tcW w:w="3192" w:type="dxa"/>
          </w:tcPr>
          <w:p w:rsidR="00F74FAA" w:rsidRPr="00F74FAA" w:rsidRDefault="00F74FAA" w:rsidP="00F74FAA">
            <w:pPr>
              <w:pStyle w:val="Default"/>
              <w:spacing w:line="360" w:lineRule="auto"/>
              <w:jc w:val="both"/>
              <w:rPr>
                <w:b/>
              </w:rPr>
            </w:pPr>
            <w:r w:rsidRPr="00F74FAA">
              <w:rPr>
                <w:b/>
              </w:rPr>
              <w:t>Dataset</w:t>
            </w:r>
          </w:p>
        </w:tc>
        <w:tc>
          <w:tcPr>
            <w:tcW w:w="3192" w:type="dxa"/>
          </w:tcPr>
          <w:p w:rsidR="00F74FAA" w:rsidRPr="00F74FAA" w:rsidRDefault="00F74FAA" w:rsidP="00F74FAA">
            <w:pPr>
              <w:pStyle w:val="Default"/>
              <w:spacing w:line="360" w:lineRule="auto"/>
              <w:jc w:val="both"/>
              <w:rPr>
                <w:b/>
              </w:rPr>
            </w:pPr>
            <w:r w:rsidRPr="00F74FAA">
              <w:rPr>
                <w:b/>
              </w:rPr>
              <w:t>Primary Identifiers</w:t>
            </w:r>
          </w:p>
        </w:tc>
        <w:tc>
          <w:tcPr>
            <w:tcW w:w="3192" w:type="dxa"/>
          </w:tcPr>
          <w:p w:rsidR="00F74FAA" w:rsidRPr="00F74FAA" w:rsidRDefault="00F74FAA" w:rsidP="00F74FAA">
            <w:pPr>
              <w:pStyle w:val="Default"/>
              <w:spacing w:line="360" w:lineRule="auto"/>
              <w:jc w:val="both"/>
              <w:rPr>
                <w:b/>
              </w:rPr>
            </w:pPr>
            <w:r w:rsidRPr="00F74FAA">
              <w:rPr>
                <w:b/>
              </w:rPr>
              <w:t>Secondary Identifiers</w:t>
            </w:r>
          </w:p>
        </w:tc>
      </w:tr>
      <w:tr w:rsidR="00F74FAA" w:rsidRPr="00F74FAA" w:rsidTr="00F74FAA">
        <w:tc>
          <w:tcPr>
            <w:tcW w:w="3192" w:type="dxa"/>
          </w:tcPr>
          <w:p w:rsidR="00F74FAA" w:rsidRPr="00F74FAA" w:rsidRDefault="00F74FAA" w:rsidP="00F74FAA">
            <w:pPr>
              <w:pStyle w:val="Default"/>
              <w:spacing w:line="360" w:lineRule="auto"/>
              <w:jc w:val="both"/>
            </w:pPr>
            <w:proofErr w:type="spellStart"/>
            <w:r w:rsidRPr="00F74FAA">
              <w:t>Compustat</w:t>
            </w:r>
            <w:proofErr w:type="spellEnd"/>
          </w:p>
        </w:tc>
        <w:tc>
          <w:tcPr>
            <w:tcW w:w="3192" w:type="dxa"/>
          </w:tcPr>
          <w:p w:rsidR="00F74FAA" w:rsidRPr="00F74FAA" w:rsidRDefault="00F74FAA" w:rsidP="00F74FAA">
            <w:pPr>
              <w:pStyle w:val="Default"/>
              <w:spacing w:line="360" w:lineRule="auto"/>
              <w:jc w:val="both"/>
            </w:pPr>
            <w:r w:rsidRPr="00F74FAA">
              <w:t>GVKEY</w:t>
            </w:r>
          </w:p>
        </w:tc>
        <w:tc>
          <w:tcPr>
            <w:tcW w:w="3192" w:type="dxa"/>
          </w:tcPr>
          <w:p w:rsidR="00F74FAA" w:rsidRPr="00F74FAA" w:rsidRDefault="00F74FAA" w:rsidP="00F74FAA">
            <w:pPr>
              <w:pStyle w:val="Default"/>
              <w:spacing w:line="360" w:lineRule="auto"/>
              <w:jc w:val="both"/>
            </w:pPr>
            <w:proofErr w:type="spellStart"/>
            <w:r w:rsidRPr="00F74FAA">
              <w:t>Cusip</w:t>
            </w:r>
            <w:proofErr w:type="spellEnd"/>
            <w:r w:rsidRPr="00F74FAA">
              <w:t>, Ticker, Name, CIK</w:t>
            </w:r>
          </w:p>
        </w:tc>
      </w:tr>
      <w:tr w:rsidR="00F74FAA" w:rsidRPr="00F74FAA" w:rsidTr="00F74FAA">
        <w:tc>
          <w:tcPr>
            <w:tcW w:w="3192" w:type="dxa"/>
          </w:tcPr>
          <w:p w:rsidR="00F74FAA" w:rsidRPr="00F74FAA" w:rsidRDefault="00F74FAA" w:rsidP="00F74FAA">
            <w:pPr>
              <w:pStyle w:val="Default"/>
              <w:spacing w:line="360" w:lineRule="auto"/>
              <w:jc w:val="both"/>
            </w:pPr>
            <w:r w:rsidRPr="00F74FAA">
              <w:t>CRSP</w:t>
            </w:r>
          </w:p>
        </w:tc>
        <w:tc>
          <w:tcPr>
            <w:tcW w:w="3192" w:type="dxa"/>
          </w:tcPr>
          <w:p w:rsidR="00F74FAA" w:rsidRPr="00F74FAA" w:rsidRDefault="00F74FAA" w:rsidP="00F74FAA">
            <w:pPr>
              <w:pStyle w:val="Default"/>
              <w:spacing w:line="360" w:lineRule="auto"/>
              <w:jc w:val="both"/>
            </w:pPr>
            <w:r w:rsidRPr="00F74FAA">
              <w:t>PERMNO</w:t>
            </w:r>
          </w:p>
        </w:tc>
        <w:tc>
          <w:tcPr>
            <w:tcW w:w="3192" w:type="dxa"/>
          </w:tcPr>
          <w:p w:rsidR="00F74FAA" w:rsidRPr="00F74FAA" w:rsidRDefault="00F74FAA" w:rsidP="00F74FAA">
            <w:pPr>
              <w:pStyle w:val="Default"/>
              <w:spacing w:line="360" w:lineRule="auto"/>
              <w:jc w:val="both"/>
            </w:pPr>
            <w:proofErr w:type="spellStart"/>
            <w:r w:rsidRPr="00F74FAA">
              <w:t>Cusip</w:t>
            </w:r>
            <w:proofErr w:type="spellEnd"/>
            <w:r w:rsidRPr="00F74FAA">
              <w:t>, Ticker, Name</w:t>
            </w:r>
          </w:p>
        </w:tc>
      </w:tr>
    </w:tbl>
    <w:p w:rsidR="00F74FAA" w:rsidRPr="00F74FAA" w:rsidRDefault="00F74FAA" w:rsidP="00F74FAA">
      <w:pPr>
        <w:pStyle w:val="Default"/>
        <w:spacing w:line="360" w:lineRule="auto"/>
        <w:jc w:val="both"/>
      </w:pPr>
    </w:p>
    <w:p w:rsidR="00F74FAA" w:rsidRPr="00F74FAA" w:rsidRDefault="00F74FAA" w:rsidP="00F74FAA">
      <w:pPr>
        <w:autoSpaceDE w:val="0"/>
        <w:autoSpaceDN w:val="0"/>
        <w:adjustRightInd w:val="0"/>
        <w:spacing w:after="0" w:line="360" w:lineRule="auto"/>
        <w:rPr>
          <w:rFonts w:ascii="Times New Roman" w:hAnsi="Times New Roman" w:cs="Times New Roman"/>
          <w:color w:val="000000"/>
          <w:sz w:val="24"/>
          <w:szCs w:val="24"/>
        </w:rPr>
      </w:pPr>
      <w:r w:rsidRPr="00F74FAA">
        <w:rPr>
          <w:rFonts w:ascii="Times New Roman" w:hAnsi="Times New Roman" w:cs="Times New Roman"/>
          <w:color w:val="000000"/>
          <w:sz w:val="24"/>
          <w:szCs w:val="24"/>
        </w:rPr>
        <w:t xml:space="preserve">Ideally, we would like to have a table that relates the Primary </w:t>
      </w:r>
      <w:proofErr w:type="spellStart"/>
      <w:r w:rsidRPr="00F74FAA">
        <w:rPr>
          <w:rFonts w:ascii="Times New Roman" w:hAnsi="Times New Roman" w:cs="Times New Roman"/>
          <w:color w:val="000000"/>
          <w:sz w:val="24"/>
          <w:szCs w:val="24"/>
        </w:rPr>
        <w:t>Indentifiers</w:t>
      </w:r>
      <w:proofErr w:type="spellEnd"/>
      <w:r w:rsidRPr="00F74FAA">
        <w:rPr>
          <w:rFonts w:ascii="Times New Roman" w:hAnsi="Times New Roman" w:cs="Times New Roman"/>
          <w:color w:val="000000"/>
          <w:sz w:val="24"/>
          <w:szCs w:val="24"/>
        </w:rPr>
        <w:t xml:space="preserve"> to each other; CRSP and </w:t>
      </w:r>
      <w:proofErr w:type="spellStart"/>
      <w:r w:rsidRPr="00F74FAA">
        <w:rPr>
          <w:rFonts w:ascii="Times New Roman" w:hAnsi="Times New Roman" w:cs="Times New Roman"/>
          <w:color w:val="000000"/>
          <w:sz w:val="24"/>
          <w:szCs w:val="24"/>
        </w:rPr>
        <w:t>Compustat</w:t>
      </w:r>
      <w:proofErr w:type="spellEnd"/>
      <w:r w:rsidRPr="00F74FAA">
        <w:rPr>
          <w:rFonts w:ascii="Times New Roman" w:hAnsi="Times New Roman" w:cs="Times New Roman"/>
          <w:color w:val="000000"/>
          <w:sz w:val="24"/>
          <w:szCs w:val="24"/>
        </w:rPr>
        <w:t xml:space="preserve"> collaborated together to construct such a table for </w:t>
      </w:r>
      <w:r w:rsidRPr="00F74FAA">
        <w:rPr>
          <w:rFonts w:ascii="Times New Roman" w:hAnsi="Times New Roman" w:cs="Times New Roman"/>
          <w:i/>
          <w:iCs/>
          <w:color w:val="000000"/>
          <w:sz w:val="24"/>
          <w:szCs w:val="24"/>
        </w:rPr>
        <w:t xml:space="preserve">GVKEY </w:t>
      </w:r>
      <w:r w:rsidRPr="00F74FAA">
        <w:rPr>
          <w:rFonts w:ascii="Times New Roman" w:hAnsi="Times New Roman" w:cs="Times New Roman"/>
          <w:color w:val="000000"/>
          <w:sz w:val="24"/>
          <w:szCs w:val="24"/>
        </w:rPr>
        <w:t xml:space="preserve">and </w:t>
      </w:r>
      <w:proofErr w:type="spellStart"/>
      <w:r w:rsidRPr="00F74FAA">
        <w:rPr>
          <w:rFonts w:ascii="Times New Roman" w:hAnsi="Times New Roman" w:cs="Times New Roman"/>
          <w:i/>
          <w:iCs/>
          <w:color w:val="000000"/>
          <w:sz w:val="24"/>
          <w:szCs w:val="24"/>
        </w:rPr>
        <w:t>Permno</w:t>
      </w:r>
      <w:proofErr w:type="spellEnd"/>
      <w:r w:rsidRPr="00F74FAA">
        <w:rPr>
          <w:rFonts w:ascii="Times New Roman" w:hAnsi="Times New Roman" w:cs="Times New Roman"/>
          <w:color w:val="000000"/>
          <w:sz w:val="24"/>
          <w:szCs w:val="24"/>
        </w:rPr>
        <w:t xml:space="preserve">. This table is the basis of the </w:t>
      </w:r>
      <w:proofErr w:type="spellStart"/>
      <w:r w:rsidRPr="00F74FAA">
        <w:rPr>
          <w:rFonts w:ascii="Times New Roman" w:hAnsi="Times New Roman" w:cs="Times New Roman"/>
          <w:color w:val="000000"/>
          <w:sz w:val="24"/>
          <w:szCs w:val="24"/>
        </w:rPr>
        <w:t>Compustat</w:t>
      </w:r>
      <w:proofErr w:type="spellEnd"/>
      <w:r w:rsidRPr="00F74FAA">
        <w:rPr>
          <w:rFonts w:ascii="Times New Roman" w:hAnsi="Times New Roman" w:cs="Times New Roman"/>
          <w:color w:val="000000"/>
          <w:sz w:val="24"/>
          <w:szCs w:val="24"/>
        </w:rPr>
        <w:t xml:space="preserve">/CRSP Merged (CCM) database. UMASS Boston currently subscribes to the CCM database, but not every university does. Therefore, the following sections will give examples of how to use the CCM database as well as how to create CRSP – </w:t>
      </w:r>
      <w:proofErr w:type="spellStart"/>
      <w:r w:rsidRPr="00F74FAA">
        <w:rPr>
          <w:rFonts w:ascii="Times New Roman" w:hAnsi="Times New Roman" w:cs="Times New Roman"/>
          <w:color w:val="000000"/>
          <w:sz w:val="24"/>
          <w:szCs w:val="24"/>
        </w:rPr>
        <w:t>Compustat</w:t>
      </w:r>
      <w:proofErr w:type="spellEnd"/>
      <w:r w:rsidRPr="00F74FAA">
        <w:rPr>
          <w:rFonts w:ascii="Times New Roman" w:hAnsi="Times New Roman" w:cs="Times New Roman"/>
          <w:color w:val="000000"/>
          <w:sz w:val="24"/>
          <w:szCs w:val="24"/>
        </w:rPr>
        <w:t xml:space="preserve"> link tables in the case that you do not have access to CCM. </w:t>
      </w:r>
    </w:p>
    <w:p w:rsidR="00F74FAA" w:rsidRPr="00F74FAA" w:rsidRDefault="00F74FAA" w:rsidP="00F74FAA">
      <w:pPr>
        <w:autoSpaceDE w:val="0"/>
        <w:autoSpaceDN w:val="0"/>
        <w:adjustRightInd w:val="0"/>
        <w:spacing w:after="0" w:line="360" w:lineRule="auto"/>
        <w:rPr>
          <w:rFonts w:ascii="Times New Roman" w:hAnsi="Times New Roman" w:cs="Times New Roman"/>
          <w:color w:val="000000"/>
          <w:sz w:val="24"/>
          <w:szCs w:val="24"/>
        </w:rPr>
      </w:pPr>
    </w:p>
    <w:p w:rsidR="00F74FAA" w:rsidRDefault="00F74FAA" w:rsidP="00F74FAA">
      <w:pPr>
        <w:pStyle w:val="Default"/>
        <w:spacing w:line="360" w:lineRule="auto"/>
        <w:jc w:val="both"/>
      </w:pPr>
      <w:r w:rsidRPr="00F74FAA">
        <w:t>In the absence of a primary key table, we must resort to use of one or more secondary identifiers, while recognizing that this approach may result in mismatched and unmatched data. The goal is to minimize these problems, and to the extent the problems are unavoidable, eliminate bad observations from the research data.</w:t>
      </w: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p>
    <w:p w:rsidR="00F74FAA" w:rsidRDefault="00F74FAA" w:rsidP="00F74FAA">
      <w:pPr>
        <w:pStyle w:val="Default"/>
        <w:spacing w:line="360" w:lineRule="auto"/>
        <w:jc w:val="both"/>
      </w:pPr>
      <w:r>
        <w:rPr>
          <w:noProof/>
        </w:rPr>
        <w:lastRenderedPageBreak/>
        <w:drawing>
          <wp:inline distT="0" distB="0" distL="0" distR="0">
            <wp:extent cx="5943600" cy="6905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905625"/>
                    </a:xfrm>
                    <a:prstGeom prst="rect">
                      <a:avLst/>
                    </a:prstGeom>
                    <a:noFill/>
                    <a:ln>
                      <a:noFill/>
                    </a:ln>
                  </pic:spPr>
                </pic:pic>
              </a:graphicData>
            </a:graphic>
          </wp:inline>
        </w:drawing>
      </w:r>
    </w:p>
    <w:p w:rsid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Pr="00F74FAA" w:rsidRDefault="00F74FAA" w:rsidP="00F74FAA">
      <w:pPr>
        <w:autoSpaceDE w:val="0"/>
        <w:autoSpaceDN w:val="0"/>
        <w:adjustRightInd w:val="0"/>
        <w:spacing w:after="0" w:line="240" w:lineRule="auto"/>
        <w:rPr>
          <w:rFonts w:ascii="Times New Roman" w:hAnsi="Times New Roman" w:cs="Times New Roman"/>
          <w:color w:val="000000"/>
          <w:sz w:val="24"/>
          <w:szCs w:val="24"/>
        </w:rPr>
      </w:pPr>
    </w:p>
    <w:p w:rsidR="00F74FAA" w:rsidRPr="00F74FAA" w:rsidRDefault="00F74FAA" w:rsidP="00F74FAA">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F74FAA">
        <w:rPr>
          <w:rFonts w:ascii="Times New Roman" w:hAnsi="Times New Roman" w:cs="Times New Roman"/>
          <w:color w:val="000000"/>
          <w:sz w:val="24"/>
          <w:szCs w:val="24"/>
        </w:rPr>
        <w:lastRenderedPageBreak/>
        <w:t xml:space="preserve">This </w:t>
      </w:r>
      <w:proofErr w:type="spellStart"/>
      <w:r w:rsidRPr="00F74FAA">
        <w:rPr>
          <w:rFonts w:ascii="Times New Roman" w:hAnsi="Times New Roman" w:cs="Times New Roman"/>
          <w:b/>
          <w:bCs/>
          <w:i/>
          <w:iCs/>
          <w:color w:val="000000"/>
          <w:sz w:val="24"/>
          <w:szCs w:val="24"/>
        </w:rPr>
        <w:t>Proc</w:t>
      </w:r>
      <w:proofErr w:type="spellEnd"/>
      <w:r w:rsidRPr="00F74FAA">
        <w:rPr>
          <w:rFonts w:ascii="Times New Roman" w:hAnsi="Times New Roman" w:cs="Times New Roman"/>
          <w:b/>
          <w:bCs/>
          <w:i/>
          <w:iCs/>
          <w:color w:val="000000"/>
          <w:sz w:val="24"/>
          <w:szCs w:val="24"/>
        </w:rPr>
        <w:t xml:space="preserve"> SQL </w:t>
      </w:r>
      <w:r w:rsidRPr="00F74FAA">
        <w:rPr>
          <w:rFonts w:ascii="Times New Roman" w:hAnsi="Times New Roman" w:cs="Times New Roman"/>
          <w:color w:val="000000"/>
          <w:sz w:val="24"/>
          <w:szCs w:val="24"/>
        </w:rPr>
        <w:t xml:space="preserve">is the basic code which links our </w:t>
      </w:r>
      <w:proofErr w:type="spellStart"/>
      <w:r w:rsidRPr="00F74FAA">
        <w:rPr>
          <w:rFonts w:ascii="Times New Roman" w:hAnsi="Times New Roman" w:cs="Times New Roman"/>
          <w:color w:val="000000"/>
          <w:sz w:val="24"/>
          <w:szCs w:val="24"/>
        </w:rPr>
        <w:t>Compustat</w:t>
      </w:r>
      <w:proofErr w:type="spellEnd"/>
      <w:r w:rsidRPr="00F74FAA">
        <w:rPr>
          <w:rFonts w:ascii="Times New Roman" w:hAnsi="Times New Roman" w:cs="Times New Roman"/>
          <w:color w:val="000000"/>
          <w:sz w:val="24"/>
          <w:szCs w:val="24"/>
        </w:rPr>
        <w:t xml:space="preserve"> data to a CRSP (</w:t>
      </w:r>
      <w:proofErr w:type="spellStart"/>
      <w:r w:rsidRPr="00F74FAA">
        <w:rPr>
          <w:rFonts w:ascii="Times New Roman" w:hAnsi="Times New Roman" w:cs="Times New Roman"/>
          <w:i/>
          <w:iCs/>
          <w:color w:val="000000"/>
          <w:sz w:val="24"/>
          <w:szCs w:val="24"/>
        </w:rPr>
        <w:t>permno</w:t>
      </w:r>
      <w:proofErr w:type="spellEnd"/>
      <w:r w:rsidRPr="00F74FAA">
        <w:rPr>
          <w:rFonts w:ascii="Times New Roman" w:hAnsi="Times New Roman" w:cs="Times New Roman"/>
          <w:color w:val="000000"/>
          <w:sz w:val="24"/>
          <w:szCs w:val="24"/>
        </w:rPr>
        <w:t xml:space="preserve">) identifier, which can then be used to merge to CRSP data, in this case daily returns. Notice that in addition to simply linking by </w:t>
      </w:r>
      <w:proofErr w:type="spellStart"/>
      <w:r w:rsidRPr="00F74FAA">
        <w:rPr>
          <w:rFonts w:ascii="Times New Roman" w:hAnsi="Times New Roman" w:cs="Times New Roman"/>
          <w:i/>
          <w:iCs/>
          <w:color w:val="000000"/>
          <w:sz w:val="24"/>
          <w:szCs w:val="24"/>
        </w:rPr>
        <w:t>gvkey</w:t>
      </w:r>
      <w:proofErr w:type="spellEnd"/>
      <w:r w:rsidRPr="00F74FAA">
        <w:rPr>
          <w:rFonts w:ascii="Times New Roman" w:hAnsi="Times New Roman" w:cs="Times New Roman"/>
          <w:color w:val="000000"/>
          <w:sz w:val="24"/>
          <w:szCs w:val="24"/>
        </w:rPr>
        <w:t>, we also make sure that the date of interest (</w:t>
      </w:r>
      <w:proofErr w:type="spellStart"/>
      <w:r w:rsidRPr="00F74FAA">
        <w:rPr>
          <w:rFonts w:ascii="Times New Roman" w:hAnsi="Times New Roman" w:cs="Times New Roman"/>
          <w:i/>
          <w:iCs/>
          <w:color w:val="000000"/>
          <w:sz w:val="24"/>
          <w:szCs w:val="24"/>
        </w:rPr>
        <w:t>datadate</w:t>
      </w:r>
      <w:proofErr w:type="spellEnd"/>
      <w:r w:rsidRPr="00F74FAA">
        <w:rPr>
          <w:rFonts w:ascii="Times New Roman" w:hAnsi="Times New Roman" w:cs="Times New Roman"/>
          <w:color w:val="000000"/>
          <w:sz w:val="24"/>
          <w:szCs w:val="24"/>
        </w:rPr>
        <w:t xml:space="preserve">) falls within the date range for which the </w:t>
      </w:r>
      <w:proofErr w:type="spellStart"/>
      <w:r w:rsidRPr="00F74FAA">
        <w:rPr>
          <w:rFonts w:ascii="Times New Roman" w:hAnsi="Times New Roman" w:cs="Times New Roman"/>
          <w:i/>
          <w:iCs/>
          <w:color w:val="000000"/>
          <w:sz w:val="24"/>
          <w:szCs w:val="24"/>
        </w:rPr>
        <w:t>gvkey</w:t>
      </w:r>
      <w:proofErr w:type="spellEnd"/>
      <w:r w:rsidRPr="00F74FAA">
        <w:rPr>
          <w:rFonts w:ascii="Times New Roman" w:hAnsi="Times New Roman" w:cs="Times New Roman"/>
          <w:i/>
          <w:iCs/>
          <w:color w:val="000000"/>
          <w:sz w:val="24"/>
          <w:szCs w:val="24"/>
        </w:rPr>
        <w:t xml:space="preserve"> </w:t>
      </w:r>
      <w:r w:rsidRPr="00F74FAA">
        <w:rPr>
          <w:rFonts w:ascii="Times New Roman" w:hAnsi="Times New Roman" w:cs="Times New Roman"/>
          <w:color w:val="000000"/>
          <w:sz w:val="24"/>
          <w:szCs w:val="24"/>
        </w:rPr>
        <w:t xml:space="preserve">to </w:t>
      </w:r>
      <w:proofErr w:type="spellStart"/>
      <w:r w:rsidRPr="00F74FAA">
        <w:rPr>
          <w:rFonts w:ascii="Times New Roman" w:hAnsi="Times New Roman" w:cs="Times New Roman"/>
          <w:i/>
          <w:iCs/>
          <w:color w:val="000000"/>
          <w:sz w:val="24"/>
          <w:szCs w:val="24"/>
        </w:rPr>
        <w:t>permno</w:t>
      </w:r>
      <w:proofErr w:type="spellEnd"/>
      <w:r w:rsidRPr="00F74FAA">
        <w:rPr>
          <w:rFonts w:ascii="Times New Roman" w:hAnsi="Times New Roman" w:cs="Times New Roman"/>
          <w:i/>
          <w:iCs/>
          <w:color w:val="000000"/>
          <w:sz w:val="24"/>
          <w:szCs w:val="24"/>
        </w:rPr>
        <w:t xml:space="preserve"> </w:t>
      </w:r>
      <w:r w:rsidRPr="00F74FAA">
        <w:rPr>
          <w:rFonts w:ascii="Times New Roman" w:hAnsi="Times New Roman" w:cs="Times New Roman"/>
          <w:color w:val="000000"/>
          <w:sz w:val="24"/>
          <w:szCs w:val="24"/>
        </w:rPr>
        <w:t xml:space="preserve">link is effective. The designation “.B” in the </w:t>
      </w:r>
      <w:proofErr w:type="spellStart"/>
      <w:r w:rsidRPr="00F74FAA">
        <w:rPr>
          <w:rFonts w:ascii="Times New Roman" w:hAnsi="Times New Roman" w:cs="Times New Roman"/>
          <w:i/>
          <w:iCs/>
          <w:color w:val="000000"/>
          <w:sz w:val="24"/>
          <w:szCs w:val="24"/>
        </w:rPr>
        <w:t>linkdt</w:t>
      </w:r>
      <w:proofErr w:type="spellEnd"/>
      <w:r w:rsidRPr="00F74FAA">
        <w:rPr>
          <w:rFonts w:ascii="Times New Roman" w:hAnsi="Times New Roman" w:cs="Times New Roman"/>
          <w:i/>
          <w:iCs/>
          <w:color w:val="000000"/>
          <w:sz w:val="24"/>
          <w:szCs w:val="24"/>
        </w:rPr>
        <w:t xml:space="preserve"> </w:t>
      </w:r>
      <w:r w:rsidRPr="00F74FAA">
        <w:rPr>
          <w:rFonts w:ascii="Times New Roman" w:hAnsi="Times New Roman" w:cs="Times New Roman"/>
          <w:color w:val="000000"/>
          <w:sz w:val="24"/>
          <w:szCs w:val="24"/>
        </w:rPr>
        <w:t>field signifie</w:t>
      </w:r>
      <w:bookmarkStart w:id="0" w:name="_GoBack"/>
      <w:bookmarkEnd w:id="0"/>
      <w:r w:rsidRPr="00F74FAA">
        <w:rPr>
          <w:rFonts w:ascii="Times New Roman" w:hAnsi="Times New Roman" w:cs="Times New Roman"/>
          <w:color w:val="000000"/>
          <w:sz w:val="24"/>
          <w:szCs w:val="24"/>
        </w:rPr>
        <w:t xml:space="preserve">s that the link is effective since the beginning of the dates for which CRSP and </w:t>
      </w:r>
      <w:proofErr w:type="spellStart"/>
      <w:r w:rsidRPr="00F74FAA">
        <w:rPr>
          <w:rFonts w:ascii="Times New Roman" w:hAnsi="Times New Roman" w:cs="Times New Roman"/>
          <w:color w:val="000000"/>
          <w:sz w:val="24"/>
          <w:szCs w:val="24"/>
        </w:rPr>
        <w:t>Compustat</w:t>
      </w:r>
      <w:proofErr w:type="spellEnd"/>
      <w:r w:rsidRPr="00F74FAA">
        <w:rPr>
          <w:rFonts w:ascii="Times New Roman" w:hAnsi="Times New Roman" w:cs="Times New Roman"/>
          <w:color w:val="000000"/>
          <w:sz w:val="24"/>
          <w:szCs w:val="24"/>
        </w:rPr>
        <w:t xml:space="preserve"> overlap, and “.E” in the </w:t>
      </w:r>
      <w:proofErr w:type="spellStart"/>
      <w:r w:rsidRPr="00F74FAA">
        <w:rPr>
          <w:rFonts w:ascii="Times New Roman" w:hAnsi="Times New Roman" w:cs="Times New Roman"/>
          <w:i/>
          <w:iCs/>
          <w:color w:val="000000"/>
          <w:sz w:val="24"/>
          <w:szCs w:val="24"/>
        </w:rPr>
        <w:t>linkenddt</w:t>
      </w:r>
      <w:proofErr w:type="spellEnd"/>
      <w:r w:rsidRPr="00F74FAA">
        <w:rPr>
          <w:rFonts w:ascii="Times New Roman" w:hAnsi="Times New Roman" w:cs="Times New Roman"/>
          <w:i/>
          <w:iCs/>
          <w:color w:val="000000"/>
          <w:sz w:val="24"/>
          <w:szCs w:val="24"/>
        </w:rPr>
        <w:t xml:space="preserve"> </w:t>
      </w:r>
      <w:r w:rsidRPr="00F74FAA">
        <w:rPr>
          <w:rFonts w:ascii="Times New Roman" w:hAnsi="Times New Roman" w:cs="Times New Roman"/>
          <w:color w:val="000000"/>
          <w:sz w:val="24"/>
          <w:szCs w:val="24"/>
        </w:rPr>
        <w:t xml:space="preserve">means that the link is still effective as of the last update. We also restrict our linking to records in the CCM link table with a </w:t>
      </w:r>
      <w:proofErr w:type="spellStart"/>
      <w:r w:rsidRPr="00F74FAA">
        <w:rPr>
          <w:rFonts w:ascii="Times New Roman" w:hAnsi="Times New Roman" w:cs="Times New Roman"/>
          <w:i/>
          <w:iCs/>
          <w:color w:val="000000"/>
          <w:sz w:val="24"/>
          <w:szCs w:val="24"/>
        </w:rPr>
        <w:t>usedflag</w:t>
      </w:r>
      <w:proofErr w:type="spellEnd"/>
      <w:r w:rsidRPr="00F74FAA">
        <w:rPr>
          <w:rFonts w:ascii="Times New Roman" w:hAnsi="Times New Roman" w:cs="Times New Roman"/>
          <w:color w:val="000000"/>
          <w:sz w:val="24"/>
          <w:szCs w:val="24"/>
        </w:rPr>
        <w:t xml:space="preserve">=1 and </w:t>
      </w:r>
      <w:proofErr w:type="spellStart"/>
      <w:r w:rsidRPr="00F74FAA">
        <w:rPr>
          <w:rFonts w:ascii="Times New Roman" w:hAnsi="Times New Roman" w:cs="Times New Roman"/>
          <w:i/>
          <w:iCs/>
          <w:color w:val="000000"/>
          <w:sz w:val="24"/>
          <w:szCs w:val="24"/>
        </w:rPr>
        <w:t>linkprim</w:t>
      </w:r>
      <w:proofErr w:type="spellEnd"/>
      <w:r w:rsidRPr="00F74FAA">
        <w:rPr>
          <w:rFonts w:ascii="Times New Roman" w:hAnsi="Times New Roman" w:cs="Times New Roman"/>
          <w:color w:val="000000"/>
          <w:sz w:val="24"/>
          <w:szCs w:val="24"/>
        </w:rPr>
        <w:t xml:space="preserve">= ‘P’ or ‘C.’ </w:t>
      </w:r>
      <w:proofErr w:type="gramStart"/>
      <w:r w:rsidRPr="00F74FAA">
        <w:rPr>
          <w:rFonts w:ascii="Times New Roman" w:hAnsi="Times New Roman" w:cs="Times New Roman"/>
          <w:color w:val="000000"/>
          <w:sz w:val="24"/>
          <w:szCs w:val="24"/>
        </w:rPr>
        <w:t>These</w:t>
      </w:r>
      <w:proofErr w:type="gramEnd"/>
      <w:r w:rsidRPr="00F74FAA">
        <w:rPr>
          <w:rFonts w:ascii="Times New Roman" w:hAnsi="Times New Roman" w:cs="Times New Roman"/>
          <w:color w:val="000000"/>
          <w:sz w:val="24"/>
          <w:szCs w:val="24"/>
        </w:rPr>
        <w:t xml:space="preserve"> restrictions are necessary to avoid duplicate links or links that are inaccurate, per CCM documentation. </w:t>
      </w:r>
    </w:p>
    <w:p w:rsidR="00F74FAA" w:rsidRPr="00F74FAA" w:rsidRDefault="00F74FAA" w:rsidP="00F74FAA">
      <w:pPr>
        <w:pStyle w:val="Default"/>
        <w:spacing w:line="360" w:lineRule="auto"/>
        <w:ind w:left="360"/>
        <w:jc w:val="both"/>
      </w:pPr>
    </w:p>
    <w:sectPr w:rsidR="00F74FAA" w:rsidRPr="00F7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502"/>
    <w:multiLevelType w:val="hybridMultilevel"/>
    <w:tmpl w:val="62DAD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C0AA6"/>
    <w:multiLevelType w:val="hybridMultilevel"/>
    <w:tmpl w:val="608E9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250E"/>
    <w:multiLevelType w:val="hybridMultilevel"/>
    <w:tmpl w:val="AD7AD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632C5"/>
    <w:multiLevelType w:val="hybridMultilevel"/>
    <w:tmpl w:val="B5A03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B47C5"/>
    <w:multiLevelType w:val="hybridMultilevel"/>
    <w:tmpl w:val="04BE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533AD"/>
    <w:multiLevelType w:val="hybridMultilevel"/>
    <w:tmpl w:val="A56E1616"/>
    <w:lvl w:ilvl="0" w:tplc="54165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A54E2"/>
    <w:multiLevelType w:val="hybridMultilevel"/>
    <w:tmpl w:val="AD7AD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D2D27"/>
    <w:multiLevelType w:val="hybridMultilevel"/>
    <w:tmpl w:val="35E84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80AEB"/>
    <w:multiLevelType w:val="hybridMultilevel"/>
    <w:tmpl w:val="10329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F1DC3"/>
    <w:multiLevelType w:val="hybridMultilevel"/>
    <w:tmpl w:val="B634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0378F"/>
    <w:multiLevelType w:val="hybridMultilevel"/>
    <w:tmpl w:val="BAE8D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774E6"/>
    <w:multiLevelType w:val="hybridMultilevel"/>
    <w:tmpl w:val="8ADC7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3"/>
  </w:num>
  <w:num w:numId="5">
    <w:abstractNumId w:val="0"/>
  </w:num>
  <w:num w:numId="6">
    <w:abstractNumId w:val="11"/>
  </w:num>
  <w:num w:numId="7">
    <w:abstractNumId w:val="2"/>
  </w:num>
  <w:num w:numId="8">
    <w:abstractNumId w:val="6"/>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E6"/>
    <w:rsid w:val="00092E05"/>
    <w:rsid w:val="001952FF"/>
    <w:rsid w:val="001F75E6"/>
    <w:rsid w:val="00234219"/>
    <w:rsid w:val="004F4F9A"/>
    <w:rsid w:val="0053693C"/>
    <w:rsid w:val="005F4CB6"/>
    <w:rsid w:val="00666FB4"/>
    <w:rsid w:val="00684EC9"/>
    <w:rsid w:val="00727397"/>
    <w:rsid w:val="007C6871"/>
    <w:rsid w:val="007F7D40"/>
    <w:rsid w:val="00B43977"/>
    <w:rsid w:val="00C73705"/>
    <w:rsid w:val="00D15299"/>
    <w:rsid w:val="00D50B2D"/>
    <w:rsid w:val="00F715E4"/>
    <w:rsid w:val="00F7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5E6"/>
    <w:pPr>
      <w:spacing w:after="0" w:line="240" w:lineRule="auto"/>
    </w:pPr>
  </w:style>
  <w:style w:type="character" w:customStyle="1" w:styleId="Heading1Char">
    <w:name w:val="Heading 1 Char"/>
    <w:basedOn w:val="DefaultParagraphFont"/>
    <w:link w:val="Heading1"/>
    <w:uiPriority w:val="9"/>
    <w:rsid w:val="001F75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5E6"/>
    <w:pPr>
      <w:ind w:left="720"/>
      <w:contextualSpacing/>
    </w:pPr>
  </w:style>
  <w:style w:type="paragraph" w:styleId="BalloonText">
    <w:name w:val="Balloon Text"/>
    <w:basedOn w:val="Normal"/>
    <w:link w:val="BalloonTextChar"/>
    <w:uiPriority w:val="99"/>
    <w:semiHidden/>
    <w:unhideWhenUsed/>
    <w:rsid w:val="001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E6"/>
    <w:rPr>
      <w:rFonts w:ascii="Tahoma" w:hAnsi="Tahoma" w:cs="Tahoma"/>
      <w:sz w:val="16"/>
      <w:szCs w:val="16"/>
    </w:rPr>
  </w:style>
  <w:style w:type="character" w:styleId="Hyperlink">
    <w:name w:val="Hyperlink"/>
    <w:basedOn w:val="DefaultParagraphFont"/>
    <w:uiPriority w:val="99"/>
    <w:unhideWhenUsed/>
    <w:rsid w:val="0053693C"/>
    <w:rPr>
      <w:color w:val="0000FF" w:themeColor="hyperlink"/>
      <w:u w:val="single"/>
    </w:rPr>
  </w:style>
  <w:style w:type="paragraph" w:customStyle="1" w:styleId="Default">
    <w:name w:val="Default"/>
    <w:rsid w:val="005369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5E6"/>
    <w:pPr>
      <w:spacing w:after="0" w:line="240" w:lineRule="auto"/>
    </w:pPr>
  </w:style>
  <w:style w:type="character" w:customStyle="1" w:styleId="Heading1Char">
    <w:name w:val="Heading 1 Char"/>
    <w:basedOn w:val="DefaultParagraphFont"/>
    <w:link w:val="Heading1"/>
    <w:uiPriority w:val="9"/>
    <w:rsid w:val="001F75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5E6"/>
    <w:pPr>
      <w:ind w:left="720"/>
      <w:contextualSpacing/>
    </w:pPr>
  </w:style>
  <w:style w:type="paragraph" w:styleId="BalloonText">
    <w:name w:val="Balloon Text"/>
    <w:basedOn w:val="Normal"/>
    <w:link w:val="BalloonTextChar"/>
    <w:uiPriority w:val="99"/>
    <w:semiHidden/>
    <w:unhideWhenUsed/>
    <w:rsid w:val="001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E6"/>
    <w:rPr>
      <w:rFonts w:ascii="Tahoma" w:hAnsi="Tahoma" w:cs="Tahoma"/>
      <w:sz w:val="16"/>
      <w:szCs w:val="16"/>
    </w:rPr>
  </w:style>
  <w:style w:type="character" w:styleId="Hyperlink">
    <w:name w:val="Hyperlink"/>
    <w:basedOn w:val="DefaultParagraphFont"/>
    <w:uiPriority w:val="99"/>
    <w:unhideWhenUsed/>
    <w:rsid w:val="0053693C"/>
    <w:rPr>
      <w:color w:val="0000FF" w:themeColor="hyperlink"/>
      <w:u w:val="single"/>
    </w:rPr>
  </w:style>
  <w:style w:type="paragraph" w:customStyle="1" w:styleId="Default">
    <w:name w:val="Default"/>
    <w:rsid w:val="005369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7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ds-web.wharton.upenn.edu/" TargetMode="External"/><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crsp.com/products/documentation/annual-data-industrial"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zafer</cp:lastModifiedBy>
  <cp:revision>7</cp:revision>
  <dcterms:created xsi:type="dcterms:W3CDTF">2014-08-01T16:25:00Z</dcterms:created>
  <dcterms:modified xsi:type="dcterms:W3CDTF">2014-08-03T20:00:00Z</dcterms:modified>
</cp:coreProperties>
</file>